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ook w:val="0000" w:firstRow="0" w:lastRow="0" w:firstColumn="0" w:lastColumn="0" w:noHBand="0" w:noVBand="0"/>
      </w:tblPr>
      <w:tblGrid>
        <w:gridCol w:w="2093"/>
        <w:gridCol w:w="7938"/>
      </w:tblGrid>
      <w:tr w:rsidR="00553DFE" w14:paraId="3F0FFD7B" w14:textId="77777777">
        <w:trPr>
          <w:cantSplit/>
          <w:trHeight w:val="316"/>
        </w:trPr>
        <w:tc>
          <w:tcPr>
            <w:tcW w:w="2093" w:type="dxa"/>
            <w:tcBorders>
              <w:top w:val="single" w:sz="4" w:space="0" w:color="auto"/>
              <w:bottom w:val="single" w:sz="4" w:space="0" w:color="auto"/>
            </w:tcBorders>
            <w:vAlign w:val="center"/>
          </w:tcPr>
          <w:p w14:paraId="7ADE5474" w14:textId="77777777" w:rsidR="00553DFE" w:rsidRDefault="00553DFE">
            <w:pPr>
              <w:pStyle w:val="ProcedureNormal"/>
              <w:rPr>
                <w:sz w:val="20"/>
              </w:rPr>
            </w:pPr>
            <w:bookmarkStart w:id="0" w:name="_GoBack"/>
            <w:bookmarkEnd w:id="0"/>
            <w:r>
              <w:rPr>
                <w:sz w:val="20"/>
              </w:rPr>
              <w:t xml:space="preserve">Parent Policy(s): </w:t>
            </w:r>
          </w:p>
        </w:tc>
        <w:tc>
          <w:tcPr>
            <w:tcW w:w="7938" w:type="dxa"/>
            <w:tcBorders>
              <w:top w:val="single" w:sz="4" w:space="0" w:color="auto"/>
              <w:bottom w:val="single" w:sz="4" w:space="0" w:color="auto"/>
            </w:tcBorders>
            <w:vAlign w:val="center"/>
          </w:tcPr>
          <w:p w14:paraId="3E5ADE53" w14:textId="77777777" w:rsidR="00553DFE" w:rsidRDefault="00BB5B43">
            <w:pPr>
              <w:pStyle w:val="ProcedureNormal"/>
              <w:rPr>
                <w:sz w:val="20"/>
              </w:rPr>
            </w:pPr>
            <w:r>
              <w:rPr>
                <w:sz w:val="20"/>
              </w:rPr>
              <w:t>Not Applicable</w:t>
            </w:r>
          </w:p>
        </w:tc>
      </w:tr>
    </w:tbl>
    <w:p w14:paraId="637C1DAA" w14:textId="77777777" w:rsidR="004D7712" w:rsidRDefault="004D7712" w:rsidP="00D758EA">
      <w:pPr>
        <w:pStyle w:val="StyleProcedureHeading1JustifiedBefore12pt"/>
      </w:pPr>
      <w:r w:rsidRPr="00B67383">
        <w:t>P</w:t>
      </w:r>
      <w:r w:rsidR="00BB5B43">
        <w:t>URPOSE</w:t>
      </w:r>
    </w:p>
    <w:p w14:paraId="2B8AF5A0" w14:textId="77777777" w:rsidR="00BB5B43" w:rsidRPr="00B67383" w:rsidRDefault="00BB5B43" w:rsidP="00BB5B43">
      <w:pPr>
        <w:pStyle w:val="StyleProcedureHeading1JustifiedBefore12pt"/>
        <w:numPr>
          <w:ilvl w:val="0"/>
          <w:numId w:val="0"/>
        </w:numPr>
        <w:spacing w:before="0"/>
      </w:pPr>
    </w:p>
    <w:p w14:paraId="0CFDC010" w14:textId="77777777" w:rsidR="003B2980" w:rsidRPr="00D405A3" w:rsidRDefault="00FD4BBB" w:rsidP="00D758EA">
      <w:pPr>
        <w:pStyle w:val="ProcedureNormal"/>
      </w:pPr>
      <w:r w:rsidRPr="00D405A3">
        <w:t>That on days of Total Fire Ban (TFB</w:t>
      </w:r>
      <w:r w:rsidR="00564B44" w:rsidRPr="00D405A3">
        <w:t>):</w:t>
      </w:r>
    </w:p>
    <w:p w14:paraId="7DBDDD7B" w14:textId="77777777" w:rsidR="003B2980" w:rsidRPr="00564B44" w:rsidRDefault="00FD4BBB" w:rsidP="009366DC">
      <w:pPr>
        <w:pStyle w:val="ProcedureNormal"/>
        <w:numPr>
          <w:ilvl w:val="0"/>
          <w:numId w:val="15"/>
        </w:numPr>
        <w:ind w:hanging="720"/>
      </w:pPr>
      <w:r w:rsidRPr="00564B44">
        <w:t xml:space="preserve">Adequate </w:t>
      </w:r>
      <w:r w:rsidR="00230746" w:rsidRPr="00564B44">
        <w:t xml:space="preserve">suitably qualified </w:t>
      </w:r>
      <w:r w:rsidR="004D7712" w:rsidRPr="00564B44">
        <w:t xml:space="preserve">personnel </w:t>
      </w:r>
      <w:r w:rsidRPr="00564B44">
        <w:t xml:space="preserve">are available </w:t>
      </w:r>
      <w:r w:rsidR="004D7712" w:rsidRPr="00564B44">
        <w:t xml:space="preserve">to </w:t>
      </w:r>
      <w:r w:rsidR="005A3DA0" w:rsidRPr="00564B44">
        <w:t>co-ordinate</w:t>
      </w:r>
      <w:r w:rsidR="004D7712" w:rsidRPr="00564B44">
        <w:t xml:space="preserve"> the response to </w:t>
      </w:r>
      <w:r w:rsidR="00230746" w:rsidRPr="00564B44">
        <w:t xml:space="preserve">potential </w:t>
      </w:r>
      <w:r w:rsidR="004D7712" w:rsidRPr="00564B44">
        <w:t>incidents</w:t>
      </w:r>
      <w:r w:rsidR="003B2980" w:rsidRPr="00564B44">
        <w:t>; and</w:t>
      </w:r>
    </w:p>
    <w:p w14:paraId="77E6B64F" w14:textId="77777777" w:rsidR="004D7712" w:rsidRPr="00564B44" w:rsidRDefault="00A95E4E" w:rsidP="009366DC">
      <w:pPr>
        <w:pStyle w:val="ProcedureNormal"/>
        <w:numPr>
          <w:ilvl w:val="0"/>
          <w:numId w:val="15"/>
        </w:numPr>
        <w:ind w:hanging="720"/>
      </w:pPr>
      <w:r w:rsidRPr="00564B44">
        <w:t xml:space="preserve"> </w:t>
      </w:r>
      <w:r w:rsidR="009366DC" w:rsidRPr="00564B44">
        <w:t>The</w:t>
      </w:r>
      <w:r w:rsidRPr="00564B44">
        <w:t xml:space="preserve"> safety of staff </w:t>
      </w:r>
      <w:r w:rsidR="00FD4BBB" w:rsidRPr="00564B44">
        <w:t xml:space="preserve">is paramount in any activities conducted </w:t>
      </w:r>
      <w:r w:rsidR="004D7712" w:rsidRPr="00564B44">
        <w:t xml:space="preserve">on </w:t>
      </w:r>
      <w:r w:rsidR="00D92F49" w:rsidRPr="00564B44">
        <w:t xml:space="preserve">a </w:t>
      </w:r>
      <w:r w:rsidR="004D7712" w:rsidRPr="00564B44">
        <w:t xml:space="preserve">day </w:t>
      </w:r>
      <w:r w:rsidR="009366DC" w:rsidRPr="00564B44">
        <w:t>of (</w:t>
      </w:r>
      <w:r w:rsidR="004D7712" w:rsidRPr="00564B44">
        <w:t xml:space="preserve">TFB). </w:t>
      </w:r>
    </w:p>
    <w:p w14:paraId="68ECF400" w14:textId="77777777" w:rsidR="004D7712" w:rsidRDefault="004D7712" w:rsidP="00D758EA">
      <w:pPr>
        <w:pStyle w:val="StyleProcedureHeading1JustifiedBefore12pt"/>
      </w:pPr>
      <w:r w:rsidRPr="00B67383">
        <w:t>S</w:t>
      </w:r>
      <w:r w:rsidR="00BB5B43">
        <w:t>COPE</w:t>
      </w:r>
    </w:p>
    <w:p w14:paraId="65599537" w14:textId="77777777" w:rsidR="00BB5B43" w:rsidRPr="00B67383" w:rsidRDefault="00BB5B43" w:rsidP="00BB5B43">
      <w:pPr>
        <w:pStyle w:val="StyleProcedureHeading1JustifiedBefore12pt"/>
        <w:numPr>
          <w:ilvl w:val="0"/>
          <w:numId w:val="0"/>
        </w:numPr>
        <w:spacing w:before="0"/>
      </w:pPr>
    </w:p>
    <w:p w14:paraId="773A2391" w14:textId="2CAD7160" w:rsidR="00A4107E" w:rsidRDefault="004D7712" w:rsidP="00B67383">
      <w:pPr>
        <w:pStyle w:val="ProcedureNormal"/>
      </w:pPr>
      <w:r>
        <w:t xml:space="preserve">This procedure </w:t>
      </w:r>
      <w:r w:rsidR="005A3DA0">
        <w:t xml:space="preserve">is specific to day(s) of TFB and </w:t>
      </w:r>
      <w:r>
        <w:t>applies when</w:t>
      </w:r>
      <w:r w:rsidR="005A3DA0">
        <w:t>ever</w:t>
      </w:r>
      <w:r>
        <w:t xml:space="preserve"> a </w:t>
      </w:r>
      <w:r w:rsidR="00D92F49">
        <w:t xml:space="preserve">day of </w:t>
      </w:r>
      <w:r>
        <w:t xml:space="preserve">TFB is declared in </w:t>
      </w:r>
      <w:r w:rsidR="005A3DA0">
        <w:t>TFB</w:t>
      </w:r>
      <w:r w:rsidR="004A02A8">
        <w:t xml:space="preserve"> </w:t>
      </w:r>
      <w:r>
        <w:t>district</w:t>
      </w:r>
      <w:r w:rsidR="005A3DA0">
        <w:t>s</w:t>
      </w:r>
      <w:r>
        <w:t xml:space="preserve"> covering GWMWater’s supply area</w:t>
      </w:r>
      <w:r w:rsidR="00D72D06">
        <w:t xml:space="preserve"> (</w:t>
      </w:r>
      <w:r w:rsidR="003B2980">
        <w:t>D</w:t>
      </w:r>
      <w:r w:rsidR="00D72D06">
        <w:t>istricts</w:t>
      </w:r>
      <w:r w:rsidR="003B2980">
        <w:t xml:space="preserve"> 16, 17 and 18</w:t>
      </w:r>
      <w:r w:rsidR="00D72D06">
        <w:t>)</w:t>
      </w:r>
      <w:r>
        <w:t>.</w:t>
      </w:r>
      <w:r w:rsidR="005A3DA0">
        <w:t xml:space="preserve"> </w:t>
      </w:r>
      <w:r w:rsidR="00A95E4E">
        <w:t>A day of TFB will generally be declared whenever the Fire Danger Index exceeds 50. Refer to definitions for explanation</w:t>
      </w:r>
      <w:r w:rsidR="00F36375">
        <w:t>.</w:t>
      </w:r>
    </w:p>
    <w:p w14:paraId="0C736811" w14:textId="77777777" w:rsidR="004D7712" w:rsidRDefault="004D7712" w:rsidP="00D758EA">
      <w:pPr>
        <w:pStyle w:val="StyleProcedureHeading1JustifiedBefore12pt"/>
      </w:pPr>
      <w:r w:rsidRPr="00B67383">
        <w:t>P</w:t>
      </w:r>
      <w:r w:rsidR="00BB5B43">
        <w:t>ROCEDURE</w:t>
      </w:r>
    </w:p>
    <w:p w14:paraId="426C075A" w14:textId="77777777" w:rsidR="00BB5B43" w:rsidRPr="00B67383" w:rsidRDefault="00BB5B43" w:rsidP="00BB5B43">
      <w:pPr>
        <w:pStyle w:val="StyleProcedureHeading1JustifiedBefore12pt"/>
        <w:numPr>
          <w:ilvl w:val="0"/>
          <w:numId w:val="0"/>
        </w:numPr>
        <w:spacing w:before="0"/>
      </w:pPr>
    </w:p>
    <w:p w14:paraId="4562E3DB" w14:textId="77777777" w:rsidR="00B67383" w:rsidRDefault="00B67383" w:rsidP="00BB5B43">
      <w:pPr>
        <w:pStyle w:val="ProcedureHeading2"/>
        <w:spacing w:before="0"/>
      </w:pPr>
      <w:bookmarkStart w:id="1" w:name="_Ref227471838"/>
      <w:r>
        <w:t xml:space="preserve">Duty </w:t>
      </w:r>
      <w:r w:rsidR="00602139">
        <w:t>Manager</w:t>
      </w:r>
      <w:r>
        <w:t xml:space="preserve"> Roster</w:t>
      </w:r>
      <w:bookmarkEnd w:id="1"/>
    </w:p>
    <w:p w14:paraId="7DCC326E" w14:textId="77777777" w:rsidR="004D7712" w:rsidRPr="00540F38" w:rsidRDefault="004D7712" w:rsidP="00B67383">
      <w:pPr>
        <w:pStyle w:val="ProcedureNormal"/>
      </w:pPr>
      <w:r>
        <w:t>A ros</w:t>
      </w:r>
      <w:r w:rsidRPr="00540F38">
        <w:t>ter is to be maintained for emergency management purposes</w:t>
      </w:r>
      <w:r w:rsidR="00DA6737" w:rsidRPr="00540F38">
        <w:rPr>
          <w:b/>
        </w:rPr>
        <w:t xml:space="preserve">, </w:t>
      </w:r>
      <w:r w:rsidR="00DA6737" w:rsidRPr="00540F38">
        <w:t>including days of TFB</w:t>
      </w:r>
      <w:r w:rsidRPr="00540F38">
        <w:t xml:space="preserve">. The roster will provide for </w:t>
      </w:r>
      <w:r w:rsidR="00D92F49" w:rsidRPr="00540F38">
        <w:t xml:space="preserve">either </w:t>
      </w:r>
      <w:r w:rsidRPr="00540F38">
        <w:t xml:space="preserve">a </w:t>
      </w:r>
      <w:r w:rsidR="0058758A" w:rsidRPr="00540F38">
        <w:t xml:space="preserve">Divisional or Executive Manager </w:t>
      </w:r>
      <w:r w:rsidRPr="00540F38">
        <w:t xml:space="preserve">to be nominated as the Duty </w:t>
      </w:r>
      <w:r w:rsidR="00602139" w:rsidRPr="00540F38">
        <w:t>Manager</w:t>
      </w:r>
      <w:r w:rsidRPr="00540F38">
        <w:t>. To be eligible to be a D</w:t>
      </w:r>
      <w:r w:rsidR="009702E2" w:rsidRPr="00540F38">
        <w:t>uty Manager</w:t>
      </w:r>
      <w:r w:rsidRPr="00540F38">
        <w:t xml:space="preserve"> a manager will be required to have </w:t>
      </w:r>
      <w:r w:rsidR="00C24D4A" w:rsidRPr="00540F38">
        <w:t>completed</w:t>
      </w:r>
      <w:r w:rsidRPr="00540F38">
        <w:t xml:space="preserve"> the Introduction to Emergency Management </w:t>
      </w:r>
      <w:r w:rsidR="0058758A" w:rsidRPr="00540F38">
        <w:t>C</w:t>
      </w:r>
      <w:r w:rsidRPr="00540F38">
        <w:t xml:space="preserve">ourse conducted by </w:t>
      </w:r>
      <w:r w:rsidR="00230746" w:rsidRPr="00540F38">
        <w:t xml:space="preserve">the Victorian </w:t>
      </w:r>
      <w:r w:rsidRPr="00540F38">
        <w:t>State Emergency Service</w:t>
      </w:r>
      <w:r w:rsidR="00230746" w:rsidRPr="00540F38">
        <w:t>s</w:t>
      </w:r>
      <w:r w:rsidRPr="00540F38">
        <w:t xml:space="preserve">, </w:t>
      </w:r>
      <w:r w:rsidR="00C24D4A" w:rsidRPr="00540F38">
        <w:t xml:space="preserve">the Introduction to AIIMS course conducted by the Department of </w:t>
      </w:r>
      <w:r w:rsidR="00742985" w:rsidRPr="00540F38">
        <w:t>E</w:t>
      </w:r>
      <w:r w:rsidR="00C24D4A" w:rsidRPr="00540F38">
        <w:t>nvironment</w:t>
      </w:r>
      <w:r w:rsidR="00742985" w:rsidRPr="00540F38">
        <w:t xml:space="preserve"> and Primary Industry</w:t>
      </w:r>
      <w:r w:rsidR="00C24D4A" w:rsidRPr="00540F38">
        <w:t xml:space="preserve">, </w:t>
      </w:r>
      <w:r w:rsidRPr="00540F38">
        <w:t>or equivalent</w:t>
      </w:r>
      <w:r w:rsidR="00C42344" w:rsidRPr="00540F38">
        <w:t xml:space="preserve"> or have the relevant experience to undertake the role of </w:t>
      </w:r>
      <w:r w:rsidR="0010720F" w:rsidRPr="00540F38">
        <w:t>Duty Manager</w:t>
      </w:r>
      <w:r w:rsidRPr="00540F38">
        <w:t xml:space="preserve">. </w:t>
      </w:r>
    </w:p>
    <w:p w14:paraId="1DB7990E" w14:textId="77777777" w:rsidR="004D7712" w:rsidRPr="00540F38" w:rsidRDefault="004D7712" w:rsidP="00B67383">
      <w:pPr>
        <w:pStyle w:val="ProcedureNormal"/>
      </w:pPr>
      <w:r w:rsidRPr="00540F38">
        <w:t>The D</w:t>
      </w:r>
      <w:r w:rsidR="0010720F" w:rsidRPr="00540F38">
        <w:t>uty Manager</w:t>
      </w:r>
      <w:r w:rsidRPr="00540F38">
        <w:t xml:space="preserve"> is responsible for:</w:t>
      </w:r>
    </w:p>
    <w:p w14:paraId="27776190" w14:textId="77777777" w:rsidR="004D7712" w:rsidRPr="00540F38" w:rsidRDefault="004D7712" w:rsidP="0007028E">
      <w:pPr>
        <w:pStyle w:val="ProcedureNormal"/>
        <w:numPr>
          <w:ilvl w:val="0"/>
          <w:numId w:val="16"/>
        </w:numPr>
        <w:ind w:hanging="720"/>
      </w:pPr>
      <w:r w:rsidRPr="00540F38">
        <w:t>Ensuring that he/she has access to the current roster of after hours, on call and emergency contacts;</w:t>
      </w:r>
    </w:p>
    <w:p w14:paraId="29E6A2FC" w14:textId="77777777" w:rsidR="00482148" w:rsidRPr="00540F38" w:rsidRDefault="00482148" w:rsidP="0007028E">
      <w:pPr>
        <w:pStyle w:val="ProcedureNormal"/>
        <w:numPr>
          <w:ilvl w:val="0"/>
          <w:numId w:val="16"/>
        </w:numPr>
        <w:ind w:hanging="720"/>
      </w:pPr>
      <w:r w:rsidRPr="00540F38">
        <w:t>Being contactable by standby operators/Works Co-ordinators to provide management and direction of emerging incidents and interruptions to normal GWMWater services</w:t>
      </w:r>
      <w:r w:rsidR="008A71A8" w:rsidRPr="00540F38">
        <w:t>; and</w:t>
      </w:r>
    </w:p>
    <w:p w14:paraId="100776F1" w14:textId="77777777" w:rsidR="00B034B8" w:rsidRPr="0059701D" w:rsidRDefault="00482148" w:rsidP="0007028E">
      <w:pPr>
        <w:pStyle w:val="ProcedureNormal"/>
        <w:numPr>
          <w:ilvl w:val="0"/>
          <w:numId w:val="16"/>
        </w:numPr>
        <w:ind w:hanging="720"/>
      </w:pPr>
      <w:r w:rsidRPr="00540F38">
        <w:t xml:space="preserve">Escalating </w:t>
      </w:r>
      <w:r w:rsidR="008A71A8" w:rsidRPr="00540F38">
        <w:t xml:space="preserve">actual and potential </w:t>
      </w:r>
      <w:r w:rsidRPr="00540F38">
        <w:t xml:space="preserve">emergencies (as defined by the Emergency Management Plan) </w:t>
      </w:r>
      <w:r w:rsidR="008A71A8" w:rsidRPr="00540F38">
        <w:t xml:space="preserve">that occur outside normal hours </w:t>
      </w:r>
      <w:r w:rsidRPr="00540F38">
        <w:t xml:space="preserve">to the Executive </w:t>
      </w:r>
      <w:r w:rsidR="0010720F" w:rsidRPr="00540F38">
        <w:t>Management Team</w:t>
      </w:r>
      <w:r w:rsidR="008A71A8" w:rsidRPr="00540F38">
        <w:t>.  If the circumstances of the incident are believed to beyond the capaci</w:t>
      </w:r>
      <w:r w:rsidR="00B034B8" w:rsidRPr="00540F38">
        <w:t xml:space="preserve">ty of normal line management, the </w:t>
      </w:r>
      <w:r w:rsidR="0010720F" w:rsidRPr="00540F38">
        <w:t>Duty Man</w:t>
      </w:r>
      <w:r w:rsidR="006B069B" w:rsidRPr="00540F38">
        <w:t>a</w:t>
      </w:r>
      <w:r w:rsidR="0010720F" w:rsidRPr="00540F38">
        <w:t xml:space="preserve">ger </w:t>
      </w:r>
      <w:r w:rsidR="00B034B8" w:rsidRPr="00540F38">
        <w:t>would</w:t>
      </w:r>
      <w:r w:rsidR="00B034B8" w:rsidRPr="0059701D">
        <w:t xml:space="preserve"> </w:t>
      </w:r>
      <w:r w:rsidR="008A71A8" w:rsidRPr="0059701D">
        <w:t>recommend the formation of an Emergency Management Team.</w:t>
      </w:r>
    </w:p>
    <w:p w14:paraId="5B0BE542" w14:textId="14E34B37" w:rsidR="00B034B8" w:rsidRPr="0059701D" w:rsidRDefault="00B034B8" w:rsidP="00F36375">
      <w:pPr>
        <w:pStyle w:val="ProcedureNormal"/>
      </w:pPr>
      <w:r w:rsidRPr="0059701D">
        <w:t xml:space="preserve">In the event of a fire related emergency developing the processes described in the Emergency Management Plan would </w:t>
      </w:r>
      <w:r w:rsidR="00742985" w:rsidRPr="0059701D">
        <w:t xml:space="preserve">be </w:t>
      </w:r>
      <w:r w:rsidRPr="0059701D">
        <w:t xml:space="preserve">activated, including where required </w:t>
      </w:r>
      <w:r w:rsidR="00816D79" w:rsidRPr="0059701D">
        <w:t xml:space="preserve">the appointment of </w:t>
      </w:r>
      <w:r w:rsidRPr="0059701D">
        <w:t xml:space="preserve">an Incident Manager and </w:t>
      </w:r>
      <w:r w:rsidR="00816D79" w:rsidRPr="0059701D">
        <w:t xml:space="preserve">formation of an </w:t>
      </w:r>
      <w:r w:rsidRPr="0059701D">
        <w:t xml:space="preserve">Emergency Management Team.  Any person acting in the role of Incident Manager must have </w:t>
      </w:r>
      <w:r w:rsidR="00FA18DF" w:rsidRPr="0059701D">
        <w:t>relevant training and experience in</w:t>
      </w:r>
      <w:r w:rsidRPr="0059701D">
        <w:t xml:space="preserve"> Incident Management Training.</w:t>
      </w:r>
    </w:p>
    <w:p w14:paraId="72670750" w14:textId="77777777" w:rsidR="00B67383" w:rsidRPr="0059701D" w:rsidRDefault="000D4DB6" w:rsidP="00B67383">
      <w:pPr>
        <w:pStyle w:val="ProcedureHeading2"/>
      </w:pPr>
      <w:r w:rsidRPr="0059701D">
        <w:lastRenderedPageBreak/>
        <w:t>O</w:t>
      </w:r>
      <w:r w:rsidR="00B67383" w:rsidRPr="0059701D">
        <w:t>MC Role</w:t>
      </w:r>
    </w:p>
    <w:p w14:paraId="75908F4E" w14:textId="77777777" w:rsidR="003B2980" w:rsidRPr="0059701D" w:rsidRDefault="003B2980" w:rsidP="00B67383">
      <w:pPr>
        <w:pStyle w:val="ProcedureNormal"/>
      </w:pPr>
    </w:p>
    <w:p w14:paraId="45D69E4B" w14:textId="77777777" w:rsidR="00813E87" w:rsidRPr="00540F38" w:rsidRDefault="003B2980" w:rsidP="00813E87">
      <w:pPr>
        <w:pStyle w:val="ProcedureNormal"/>
      </w:pPr>
      <w:r w:rsidRPr="0059701D">
        <w:t xml:space="preserve">The </w:t>
      </w:r>
      <w:r w:rsidRPr="00540F38">
        <w:t>requirements of the OMC operators are defined in the Total Fire Ban OMC work instructio</w:t>
      </w:r>
      <w:r w:rsidR="00813E87" w:rsidRPr="00540F38">
        <w:t xml:space="preserve">n - </w:t>
      </w:r>
      <w:hyperlink r:id="rId8" w:history="1">
        <w:r w:rsidR="00813E87" w:rsidRPr="00540F38">
          <w:rPr>
            <w:rStyle w:val="Hyperlink"/>
          </w:rPr>
          <w:t>CMS/3102</w:t>
        </w:r>
      </w:hyperlink>
    </w:p>
    <w:p w14:paraId="55837FEE" w14:textId="77777777" w:rsidR="004D7712" w:rsidRPr="00540F38" w:rsidRDefault="004D7712" w:rsidP="00B67383">
      <w:pPr>
        <w:pStyle w:val="ProcedureNormal"/>
      </w:pPr>
      <w:r w:rsidRPr="00540F38">
        <w:t xml:space="preserve">All contact with external agencies on days of TFB should be </w:t>
      </w:r>
      <w:r w:rsidR="00B67383" w:rsidRPr="00540F38">
        <w:t>channeled</w:t>
      </w:r>
      <w:r w:rsidRPr="00540F38">
        <w:t xml:space="preserve"> through the</w:t>
      </w:r>
      <w:r w:rsidR="005632FE" w:rsidRPr="00540F38">
        <w:t xml:space="preserve"> </w:t>
      </w:r>
      <w:r w:rsidR="003B2980" w:rsidRPr="00540F38">
        <w:t xml:space="preserve">Incident </w:t>
      </w:r>
      <w:r w:rsidR="00602139" w:rsidRPr="00540F38">
        <w:t>Manager</w:t>
      </w:r>
      <w:r w:rsidR="003B2980" w:rsidRPr="00540F38">
        <w:t>.</w:t>
      </w:r>
      <w:r w:rsidRPr="00540F38">
        <w:t xml:space="preserve"> </w:t>
      </w:r>
    </w:p>
    <w:p w14:paraId="30CFC1C0" w14:textId="77777777" w:rsidR="00A4107E" w:rsidRPr="00540F38" w:rsidRDefault="00A4107E" w:rsidP="00B67383">
      <w:pPr>
        <w:pStyle w:val="ProcedureNormal"/>
      </w:pPr>
    </w:p>
    <w:p w14:paraId="2D48B8FE" w14:textId="77777777" w:rsidR="00A4107E" w:rsidRPr="00540F38" w:rsidRDefault="00A4107E" w:rsidP="00A4107E">
      <w:pPr>
        <w:pStyle w:val="ProcedureHeading2"/>
      </w:pPr>
      <w:r w:rsidRPr="00540F38">
        <w:t>CFA Fire Districts</w:t>
      </w:r>
    </w:p>
    <w:p w14:paraId="59EDC4BC" w14:textId="77777777" w:rsidR="00A4107E" w:rsidRPr="00540F38" w:rsidRDefault="00A4107E" w:rsidP="00B67383">
      <w:pPr>
        <w:pStyle w:val="ProcedureNormal"/>
      </w:pPr>
    </w:p>
    <w:p w14:paraId="11A13FAF" w14:textId="77777777" w:rsidR="00A4107E" w:rsidRDefault="00A4107E" w:rsidP="00B67383">
      <w:pPr>
        <w:pStyle w:val="ProcedureNormal"/>
      </w:pPr>
      <w:r w:rsidRPr="00540F38">
        <w:t>The GWMWater operational area covers multiple CFA Fire Districts.  The districts are outlined in the map below.</w:t>
      </w:r>
    </w:p>
    <w:p w14:paraId="7214D8D0" w14:textId="2E0D8B6A" w:rsidR="00A4107E" w:rsidRDefault="005C1BE4" w:rsidP="00B67383">
      <w:pPr>
        <w:pStyle w:val="ProcedureNormal"/>
      </w:pPr>
      <w:r>
        <w:rPr>
          <w:noProof/>
        </w:rPr>
        <w:drawing>
          <wp:inline distT="0" distB="0" distL="0" distR="0" wp14:anchorId="23BBC1CE" wp14:editId="71E66069">
            <wp:extent cx="5022215" cy="345948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215" cy="3459480"/>
                    </a:xfrm>
                    <a:prstGeom prst="rect">
                      <a:avLst/>
                    </a:prstGeom>
                    <a:noFill/>
                    <a:ln>
                      <a:noFill/>
                    </a:ln>
                  </pic:spPr>
                </pic:pic>
              </a:graphicData>
            </a:graphic>
          </wp:inline>
        </w:drawing>
      </w:r>
    </w:p>
    <w:p w14:paraId="24CEA544" w14:textId="77777777" w:rsidR="00A4107E" w:rsidRPr="0059701D" w:rsidRDefault="00A4107E" w:rsidP="00B67383">
      <w:pPr>
        <w:pStyle w:val="ProcedureNormal"/>
      </w:pPr>
    </w:p>
    <w:p w14:paraId="26A6E55E" w14:textId="77777777" w:rsidR="00A95E4E" w:rsidRPr="0059701D" w:rsidRDefault="00A95E4E" w:rsidP="00A95E4E">
      <w:pPr>
        <w:pStyle w:val="ProcedureHeading2"/>
      </w:pPr>
      <w:r w:rsidRPr="0059701D">
        <w:t xml:space="preserve">Operations </w:t>
      </w:r>
      <w:r w:rsidR="00751184" w:rsidRPr="0059701D">
        <w:t xml:space="preserve">and Maintenance Work </w:t>
      </w:r>
      <w:r w:rsidRPr="0059701D">
        <w:t>on a Day of Total Fire Ban</w:t>
      </w:r>
    </w:p>
    <w:p w14:paraId="6BB9FB72" w14:textId="77777777" w:rsidR="0066026C" w:rsidRPr="0059701D" w:rsidRDefault="0066026C" w:rsidP="00751184">
      <w:pPr>
        <w:pStyle w:val="ProcedureNormal"/>
      </w:pPr>
    </w:p>
    <w:p w14:paraId="58F03C60" w14:textId="45D56222" w:rsidR="0066026C" w:rsidRPr="0059701D" w:rsidRDefault="0066026C" w:rsidP="00751184">
      <w:pPr>
        <w:pStyle w:val="ProcedureNormal"/>
        <w:rPr>
          <w:b/>
        </w:rPr>
      </w:pPr>
      <w:r w:rsidRPr="0059701D">
        <w:rPr>
          <w:b/>
        </w:rPr>
        <w:t>3.</w:t>
      </w:r>
      <w:r w:rsidR="00D231FA" w:rsidRPr="00A834FA">
        <w:rPr>
          <w:b/>
          <w:highlight w:val="yellow"/>
        </w:rPr>
        <w:t>4</w:t>
      </w:r>
      <w:r w:rsidRPr="00A834FA">
        <w:rPr>
          <w:b/>
          <w:highlight w:val="yellow"/>
        </w:rPr>
        <w:t>.1</w:t>
      </w:r>
      <w:r w:rsidRPr="0059701D">
        <w:rPr>
          <w:b/>
        </w:rPr>
        <w:tab/>
        <w:t>Communications</w:t>
      </w:r>
    </w:p>
    <w:p w14:paraId="13490160" w14:textId="77777777" w:rsidR="00751184" w:rsidRDefault="00751184" w:rsidP="00751184">
      <w:pPr>
        <w:pStyle w:val="ProcedureNormal"/>
      </w:pPr>
      <w:r w:rsidRPr="0059701D">
        <w:t>On a day of TFB</w:t>
      </w:r>
      <w:r w:rsidR="005944DA" w:rsidRPr="0059701D">
        <w:t xml:space="preserve"> during normal working hours</w:t>
      </w:r>
      <w:r w:rsidRPr="0059701D">
        <w:t xml:space="preserve">, all staff </w:t>
      </w:r>
      <w:r w:rsidR="005944DA" w:rsidRPr="0059701D">
        <w:t>must log their movements with the OMC</w:t>
      </w:r>
      <w:r w:rsidR="0066026C" w:rsidRPr="0059701D">
        <w:t>.  W</w:t>
      </w:r>
      <w:r w:rsidR="005944DA" w:rsidRPr="0059701D">
        <w:t xml:space="preserve">hen working outside normal hours, staff should log their movements with South East </w:t>
      </w:r>
      <w:r w:rsidR="005944DA" w:rsidRPr="00540F38">
        <w:t>Water</w:t>
      </w:r>
      <w:r w:rsidR="0010720F" w:rsidRPr="00540F38">
        <w:t xml:space="preserve"> call cent</w:t>
      </w:r>
      <w:r w:rsidR="006B069B" w:rsidRPr="00540F38">
        <w:t>r</w:t>
      </w:r>
      <w:r w:rsidR="0010720F" w:rsidRPr="00540F38">
        <w:t>e.</w:t>
      </w:r>
      <w:r w:rsidR="005E12E8" w:rsidRPr="0059701D">
        <w:t xml:space="preserve"> </w:t>
      </w:r>
      <w:r w:rsidRPr="0059701D">
        <w:t>All actions taken by staff in response to significant incidents (at any time, not just on a day of TFB) must be logged with the OMC. Staff must not enter or attempt to enter an active fire zone without authority from a supervisor.</w:t>
      </w:r>
    </w:p>
    <w:p w14:paraId="72C672D3" w14:textId="77777777" w:rsidR="00421C59" w:rsidRDefault="00421C59" w:rsidP="00751184">
      <w:pPr>
        <w:pStyle w:val="ProcedureNormal"/>
      </w:pPr>
    </w:p>
    <w:p w14:paraId="422FF646" w14:textId="26229290" w:rsidR="00421C59" w:rsidRPr="00540F38" w:rsidRDefault="00421C59" w:rsidP="009910E5">
      <w:pPr>
        <w:pStyle w:val="ProcedureNormal"/>
        <w:spacing w:before="120"/>
        <w:rPr>
          <w:b/>
        </w:rPr>
      </w:pPr>
      <w:r w:rsidRPr="00540F38">
        <w:rPr>
          <w:b/>
        </w:rPr>
        <w:lastRenderedPageBreak/>
        <w:t>3.</w:t>
      </w:r>
      <w:r w:rsidR="00D231FA">
        <w:rPr>
          <w:b/>
        </w:rPr>
        <w:t>4</w:t>
      </w:r>
      <w:r w:rsidRPr="00540F38">
        <w:rPr>
          <w:b/>
        </w:rPr>
        <w:t>.2</w:t>
      </w:r>
      <w:r w:rsidRPr="00540F38">
        <w:rPr>
          <w:b/>
        </w:rPr>
        <w:tab/>
        <w:t>Contractor Works</w:t>
      </w:r>
    </w:p>
    <w:p w14:paraId="4B2F09F2" w14:textId="669D69DF" w:rsidR="00674F03" w:rsidRPr="0059701D" w:rsidRDefault="00421C59" w:rsidP="00751184">
      <w:pPr>
        <w:pStyle w:val="ProcedureNormal"/>
      </w:pPr>
      <w:r w:rsidRPr="00540F38">
        <w:t>On a day of total fire ban all contractor works are to be reviewed by the relevant project manager or team leader to determine</w:t>
      </w:r>
      <w:r w:rsidR="0010720F" w:rsidRPr="00540F38">
        <w:t xml:space="preserve"> if the proposed activities are allowed by TFB regulations and if they can be undertaken safely.</w:t>
      </w:r>
      <w:r w:rsidR="00661CD5" w:rsidRPr="00540F38">
        <w:t xml:space="preserve"> </w:t>
      </w:r>
      <w:r w:rsidRPr="00540F38">
        <w:t xml:space="preserve">The contractor </w:t>
      </w:r>
      <w:r w:rsidR="0010720F" w:rsidRPr="00540F38">
        <w:t>Safe Work Method Statement (</w:t>
      </w:r>
      <w:r w:rsidRPr="00540F38">
        <w:t>SWMS</w:t>
      </w:r>
      <w:r w:rsidR="0010720F" w:rsidRPr="00540F38">
        <w:t>)</w:t>
      </w:r>
      <w:r w:rsidR="00661CD5" w:rsidRPr="00540F38">
        <w:t xml:space="preserve"> must address</w:t>
      </w:r>
      <w:r w:rsidRPr="00540F38">
        <w:t xml:space="preserve"> management of works to mitigate any fire risk and heat exposure</w:t>
      </w:r>
      <w:r w:rsidR="00661CD5" w:rsidRPr="00540F38">
        <w:t xml:space="preserve"> effects on personnel.</w:t>
      </w:r>
      <w:r w:rsidRPr="00540F38">
        <w:t xml:space="preserve"> </w:t>
      </w:r>
      <w:r w:rsidR="00661CD5" w:rsidRPr="00540F38">
        <w:t>T</w:t>
      </w:r>
      <w:r w:rsidRPr="00540F38">
        <w:t>he contractor shall manage any risk to their staff</w:t>
      </w:r>
      <w:r w:rsidR="0010720F" w:rsidRPr="00540F38">
        <w:t>, public and property</w:t>
      </w:r>
      <w:r w:rsidRPr="00540F38">
        <w:t>.</w:t>
      </w:r>
      <w:r w:rsidR="00661CD5" w:rsidRPr="00540F38">
        <w:t xml:space="preserve">  The contractor is to have the relevant CFA permits and approvals in place if they are to commence hot works on total fire ban day. </w:t>
      </w:r>
      <w:r w:rsidRPr="00540F38">
        <w:t>Under no circumstances shall hot works be undertaken which include</w:t>
      </w:r>
      <w:r w:rsidR="0010720F" w:rsidRPr="00540F38">
        <w:t xml:space="preserve">d cutting, grinding and welding on </w:t>
      </w:r>
      <w:r w:rsidR="00004428" w:rsidRPr="00540F38">
        <w:rPr>
          <w:highlight w:val="yellow"/>
        </w:rPr>
        <w:t>Catastrophic</w:t>
      </w:r>
      <w:r w:rsidR="0010720F" w:rsidRPr="00540F38">
        <w:rPr>
          <w:highlight w:val="yellow"/>
        </w:rPr>
        <w:t xml:space="preserve"> </w:t>
      </w:r>
      <w:r w:rsidR="00050137">
        <w:rPr>
          <w:highlight w:val="yellow"/>
        </w:rPr>
        <w:t xml:space="preserve">fire danger </w:t>
      </w:r>
      <w:r w:rsidR="0010720F" w:rsidRPr="00540F38">
        <w:rPr>
          <w:highlight w:val="yellow"/>
        </w:rPr>
        <w:t>days.</w:t>
      </w:r>
    </w:p>
    <w:p w14:paraId="74E2377B" w14:textId="7364F50D" w:rsidR="0066026C" w:rsidRPr="0059701D" w:rsidRDefault="0066026C" w:rsidP="00A95E4E">
      <w:pPr>
        <w:pStyle w:val="ProcedureNormal"/>
        <w:spacing w:before="120"/>
        <w:rPr>
          <w:b/>
        </w:rPr>
      </w:pPr>
      <w:r w:rsidRPr="0059701D">
        <w:rPr>
          <w:b/>
        </w:rPr>
        <w:t>3.</w:t>
      </w:r>
      <w:r w:rsidR="00D231FA">
        <w:rPr>
          <w:b/>
        </w:rPr>
        <w:t>4</w:t>
      </w:r>
      <w:r w:rsidRPr="0059701D">
        <w:rPr>
          <w:b/>
        </w:rPr>
        <w:t>.</w:t>
      </w:r>
      <w:r w:rsidR="00D231FA">
        <w:rPr>
          <w:b/>
        </w:rPr>
        <w:t>3</w:t>
      </w:r>
      <w:r w:rsidRPr="0059701D">
        <w:rPr>
          <w:b/>
        </w:rPr>
        <w:tab/>
        <w:t>Section 40 Permit for Specific Works on Days of Total Fire Ban</w:t>
      </w:r>
    </w:p>
    <w:p w14:paraId="2577532F" w14:textId="77777777" w:rsidR="00A95E4E" w:rsidRPr="0059701D" w:rsidRDefault="00A95E4E" w:rsidP="00A95E4E">
      <w:pPr>
        <w:pStyle w:val="ProcedureNormal"/>
        <w:spacing w:before="120"/>
      </w:pPr>
      <w:r w:rsidRPr="0059701D">
        <w:t xml:space="preserve">Each year GWMWater obtains a permit under Section 40 of the Country Fire Authority Act 1958. The permit generally allows staff to operate equipment such as grinders and oxyacetylene torches on days of TFB, provided the conditions of the permit are adhered to. </w:t>
      </w:r>
    </w:p>
    <w:p w14:paraId="6DBF0252" w14:textId="77777777" w:rsidR="00FD4BBB" w:rsidRPr="0059701D" w:rsidRDefault="00A95E4E" w:rsidP="00A95E4E">
      <w:pPr>
        <w:pStyle w:val="ProcedureNormal"/>
      </w:pPr>
      <w:r w:rsidRPr="0059701D">
        <w:t>Nominated equipment must only be used in emergency situations</w:t>
      </w:r>
      <w:r w:rsidR="00FF715B" w:rsidRPr="0059701D">
        <w:t xml:space="preserve"> on a day of TFB</w:t>
      </w:r>
      <w:r w:rsidRPr="0059701D">
        <w:t>, and then only when there is no feasible alternative. A copy of the permit must be in the possession of any staff member who purports to be operating under its auspices. The intention to operate under the provisions of the permit must be</w:t>
      </w:r>
      <w:r w:rsidR="00FD4BBB" w:rsidRPr="0059701D">
        <w:t>:</w:t>
      </w:r>
    </w:p>
    <w:p w14:paraId="53C8F23C" w14:textId="77777777" w:rsidR="00FD4BBB" w:rsidRPr="009910E5" w:rsidRDefault="0007028E" w:rsidP="0007028E">
      <w:pPr>
        <w:pStyle w:val="ProcedureNormal"/>
        <w:numPr>
          <w:ilvl w:val="0"/>
          <w:numId w:val="14"/>
        </w:numPr>
        <w:ind w:hanging="720"/>
        <w:rPr>
          <w:lang w:val="en-AU"/>
        </w:rPr>
      </w:pPr>
      <w:r w:rsidRPr="009910E5">
        <w:rPr>
          <w:lang w:val="en-AU"/>
        </w:rPr>
        <w:t>s</w:t>
      </w:r>
      <w:r w:rsidR="00FD4BBB" w:rsidRPr="009910E5">
        <w:rPr>
          <w:lang w:val="en-AU"/>
        </w:rPr>
        <w:t>pecifically authori</w:t>
      </w:r>
      <w:r w:rsidR="00A4107E" w:rsidRPr="009910E5">
        <w:rPr>
          <w:lang w:val="en-AU"/>
        </w:rPr>
        <w:t>s</w:t>
      </w:r>
      <w:r w:rsidR="00FD4BBB" w:rsidRPr="009910E5">
        <w:rPr>
          <w:lang w:val="en-AU"/>
        </w:rPr>
        <w:t>ed by the relevant GWMWater Works Co-</w:t>
      </w:r>
      <w:r w:rsidRPr="009910E5">
        <w:rPr>
          <w:lang w:val="en-AU"/>
        </w:rPr>
        <w:t>coordinator</w:t>
      </w:r>
      <w:r w:rsidR="00FD4BBB" w:rsidRPr="009910E5">
        <w:rPr>
          <w:lang w:val="en-AU"/>
        </w:rPr>
        <w:t>; and</w:t>
      </w:r>
    </w:p>
    <w:p w14:paraId="5F01B7BE" w14:textId="77777777" w:rsidR="00FD4BBB" w:rsidRPr="0059701D" w:rsidRDefault="00A95E4E" w:rsidP="0007028E">
      <w:pPr>
        <w:pStyle w:val="ProcedureNormal"/>
        <w:numPr>
          <w:ilvl w:val="0"/>
          <w:numId w:val="14"/>
        </w:numPr>
        <w:ind w:hanging="720"/>
      </w:pPr>
      <w:r w:rsidRPr="0059701D">
        <w:t xml:space="preserve">advised to the </w:t>
      </w:r>
      <w:r w:rsidR="000963E4" w:rsidRPr="0059701D">
        <w:t xml:space="preserve">Operations Manager of the </w:t>
      </w:r>
      <w:r w:rsidR="0066026C" w:rsidRPr="0059701D">
        <w:t xml:space="preserve">applicable </w:t>
      </w:r>
      <w:r w:rsidR="000963E4" w:rsidRPr="0059701D">
        <w:t xml:space="preserve">CFA </w:t>
      </w:r>
      <w:r w:rsidR="00564B44" w:rsidRPr="0059701D">
        <w:t>District between</w:t>
      </w:r>
      <w:r w:rsidR="009366DC" w:rsidRPr="0059701D">
        <w:t xml:space="preserve"> two</w:t>
      </w:r>
      <w:r w:rsidR="000963E4" w:rsidRPr="0059701D">
        <w:t xml:space="preserve"> and 24 hours before the works are to commence and</w:t>
      </w:r>
      <w:r w:rsidRPr="0059701D">
        <w:t xml:space="preserve"> prior to any work commencing.</w:t>
      </w:r>
    </w:p>
    <w:p w14:paraId="5FF2ECF5" w14:textId="77777777" w:rsidR="00FF715B" w:rsidRPr="0059701D" w:rsidRDefault="00A95E4E" w:rsidP="00FD4BBB">
      <w:pPr>
        <w:pStyle w:val="ProcedureNormal"/>
      </w:pPr>
      <w:r w:rsidRPr="0059701D">
        <w:t xml:space="preserve">The permit </w:t>
      </w:r>
      <w:r w:rsidR="00075A97" w:rsidRPr="0059701D">
        <w:t>may</w:t>
      </w:r>
      <w:r w:rsidRPr="0059701D">
        <w:t xml:space="preserve"> be </w:t>
      </w:r>
      <w:r w:rsidR="00075A97" w:rsidRPr="0059701D">
        <w:t>revoked</w:t>
      </w:r>
      <w:r w:rsidRPr="0059701D">
        <w:t xml:space="preserve"> </w:t>
      </w:r>
      <w:r w:rsidR="00075A97" w:rsidRPr="0059701D">
        <w:t xml:space="preserve">by the </w:t>
      </w:r>
      <w:r w:rsidR="00163555" w:rsidRPr="0059701D">
        <w:t xml:space="preserve">CFA </w:t>
      </w:r>
      <w:r w:rsidR="00075A97" w:rsidRPr="0059701D">
        <w:t>Chief Officer</w:t>
      </w:r>
      <w:r w:rsidRPr="0059701D">
        <w:t xml:space="preserve">. </w:t>
      </w:r>
    </w:p>
    <w:p w14:paraId="1A7D0105" w14:textId="3FF36B80" w:rsidR="00A4107E" w:rsidRPr="00674F03" w:rsidRDefault="00FF715B" w:rsidP="00A95E4E">
      <w:pPr>
        <w:pStyle w:val="ProcedureNormal"/>
        <w:spacing w:before="120"/>
      </w:pPr>
      <w:r w:rsidRPr="0059701D">
        <w:t>No work should be carried out on a day of TFB without assessing the risks involved</w:t>
      </w:r>
      <w:r w:rsidR="00075A97" w:rsidRPr="0059701D">
        <w:t xml:space="preserve"> and compliance with the Permit Conditions</w:t>
      </w:r>
      <w:r w:rsidRPr="0059701D">
        <w:t xml:space="preserve">. All high risk work should be suspended. </w:t>
      </w:r>
      <w:r w:rsidR="00A95E4E" w:rsidRPr="0059701D">
        <w:t>The suspension of all high risk works applies to contractors as well as staff.</w:t>
      </w:r>
    </w:p>
    <w:p w14:paraId="489CED10" w14:textId="4E90D14A" w:rsidR="00813E87" w:rsidRPr="009910E5" w:rsidRDefault="00813E87" w:rsidP="00A95E4E">
      <w:pPr>
        <w:pStyle w:val="ProcedureNormal"/>
        <w:spacing w:before="120"/>
        <w:rPr>
          <w:b/>
          <w:highlight w:val="yellow"/>
          <w:lang w:val="en-AU"/>
        </w:rPr>
      </w:pPr>
      <w:r w:rsidRPr="009910E5">
        <w:rPr>
          <w:b/>
          <w:highlight w:val="yellow"/>
          <w:lang w:val="en-AU"/>
        </w:rPr>
        <w:t>3.</w:t>
      </w:r>
      <w:r w:rsidR="00D231FA">
        <w:rPr>
          <w:b/>
          <w:highlight w:val="yellow"/>
          <w:lang w:val="en-AU"/>
        </w:rPr>
        <w:t>4</w:t>
      </w:r>
      <w:r w:rsidRPr="009910E5">
        <w:rPr>
          <w:b/>
          <w:highlight w:val="yellow"/>
          <w:lang w:val="en-AU"/>
        </w:rPr>
        <w:t>.</w:t>
      </w:r>
      <w:r w:rsidR="00D231FA">
        <w:rPr>
          <w:b/>
          <w:highlight w:val="yellow"/>
          <w:lang w:val="en-AU"/>
        </w:rPr>
        <w:t>4</w:t>
      </w:r>
      <w:r w:rsidRPr="009910E5">
        <w:rPr>
          <w:b/>
          <w:highlight w:val="yellow"/>
          <w:lang w:val="en-AU"/>
        </w:rPr>
        <w:tab/>
      </w:r>
      <w:r w:rsidR="00004428">
        <w:rPr>
          <w:b/>
          <w:highlight w:val="yellow"/>
          <w:lang w:val="en-AU"/>
        </w:rPr>
        <w:t xml:space="preserve">Catastrophic </w:t>
      </w:r>
      <w:r w:rsidR="00050137">
        <w:rPr>
          <w:b/>
          <w:highlight w:val="yellow"/>
          <w:lang w:val="en-AU"/>
        </w:rPr>
        <w:t>Fire Danger Rating</w:t>
      </w:r>
    </w:p>
    <w:p w14:paraId="473F6D42" w14:textId="101A1F9B" w:rsidR="00813E87" w:rsidRPr="00540F38" w:rsidRDefault="00813E87" w:rsidP="00A95E4E">
      <w:pPr>
        <w:pStyle w:val="ProcedureNormal"/>
        <w:spacing w:before="120"/>
        <w:rPr>
          <w:lang w:val="en-AU"/>
        </w:rPr>
      </w:pPr>
      <w:r w:rsidRPr="00540F38">
        <w:rPr>
          <w:lang w:val="en-AU"/>
        </w:rPr>
        <w:t xml:space="preserve">Where a day of total fire ban has been declared as </w:t>
      </w:r>
      <w:r w:rsidR="00004428" w:rsidRPr="0067541C">
        <w:rPr>
          <w:highlight w:val="yellow"/>
          <w:lang w:val="en-AU"/>
        </w:rPr>
        <w:t>Catastrophic</w:t>
      </w:r>
      <w:r w:rsidR="00A40D42" w:rsidRPr="0067541C">
        <w:rPr>
          <w:highlight w:val="yellow"/>
          <w:lang w:val="en-AU"/>
        </w:rPr>
        <w:t>, catastrophic fire</w:t>
      </w:r>
      <w:r w:rsidR="00A40D42" w:rsidRPr="00540F38">
        <w:rPr>
          <w:lang w:val="en-AU"/>
        </w:rPr>
        <w:t xml:space="preserve"> danger conditions</w:t>
      </w:r>
      <w:r w:rsidR="00050137">
        <w:rPr>
          <w:lang w:val="en-AU"/>
        </w:rPr>
        <w:t xml:space="preserve"> exist</w:t>
      </w:r>
      <w:r w:rsidR="00A40D42" w:rsidRPr="00540F38">
        <w:rPr>
          <w:lang w:val="en-AU"/>
        </w:rPr>
        <w:t>, the following additional requirements are to be implemented.</w:t>
      </w:r>
    </w:p>
    <w:p w14:paraId="674F4CC6" w14:textId="77777777" w:rsidR="00A40D42" w:rsidRPr="00540F38" w:rsidRDefault="00A40D42" w:rsidP="009910E5">
      <w:pPr>
        <w:pStyle w:val="ProcedureNormal"/>
        <w:numPr>
          <w:ilvl w:val="0"/>
          <w:numId w:val="22"/>
        </w:numPr>
        <w:spacing w:before="120"/>
        <w:rPr>
          <w:lang w:val="en-AU"/>
        </w:rPr>
      </w:pPr>
      <w:r w:rsidRPr="00540F38">
        <w:rPr>
          <w:lang w:val="en-AU"/>
        </w:rPr>
        <w:t xml:space="preserve">Office based staff are not to travel within </w:t>
      </w:r>
      <w:r w:rsidR="00004428" w:rsidRPr="00540F38">
        <w:rPr>
          <w:lang w:val="en-AU"/>
        </w:rPr>
        <w:t>Catastrophic</w:t>
      </w:r>
      <w:r w:rsidRPr="00540F38">
        <w:rPr>
          <w:lang w:val="en-AU"/>
        </w:rPr>
        <w:t xml:space="preserve"> fire districts, any urgent or emergency travel within </w:t>
      </w:r>
      <w:r w:rsidR="00004428" w:rsidRPr="00540F38">
        <w:rPr>
          <w:lang w:val="en-AU"/>
        </w:rPr>
        <w:t>Catastrophic</w:t>
      </w:r>
      <w:r w:rsidRPr="00540F38">
        <w:rPr>
          <w:lang w:val="en-AU"/>
        </w:rPr>
        <w:t xml:space="preserve"> areas must be approved by the relevant Executive Manager. </w:t>
      </w:r>
    </w:p>
    <w:p w14:paraId="684132ED" w14:textId="77777777" w:rsidR="00A40D42" w:rsidRPr="00540F38" w:rsidRDefault="00A40D42" w:rsidP="009910E5">
      <w:pPr>
        <w:pStyle w:val="ProcedureNormal"/>
        <w:numPr>
          <w:ilvl w:val="0"/>
          <w:numId w:val="22"/>
        </w:numPr>
        <w:spacing w:before="120"/>
        <w:rPr>
          <w:lang w:val="en-AU"/>
        </w:rPr>
      </w:pPr>
      <w:r w:rsidRPr="00540F38">
        <w:rPr>
          <w:lang w:val="en-AU"/>
        </w:rPr>
        <w:t>The Executive Manager of Service Delivery will identify and notify relevant staff members to form an Emergency Management Team (EMT). The EMT will be on standby for the duration of the day. This responsibility will fall to the Manager Network Systems and Planning should the Executive Manager be absent.</w:t>
      </w:r>
    </w:p>
    <w:p w14:paraId="284B96A0" w14:textId="77777777" w:rsidR="00A40D42" w:rsidRPr="00540F38" w:rsidRDefault="00A40D42" w:rsidP="009910E5">
      <w:pPr>
        <w:pStyle w:val="ProcedureNormal"/>
        <w:numPr>
          <w:ilvl w:val="0"/>
          <w:numId w:val="22"/>
        </w:numPr>
        <w:spacing w:before="120"/>
        <w:rPr>
          <w:lang w:val="en-AU"/>
        </w:rPr>
      </w:pPr>
      <w:r w:rsidRPr="00540F38">
        <w:rPr>
          <w:lang w:val="en-AU"/>
        </w:rPr>
        <w:t>Operational field staff a</w:t>
      </w:r>
      <w:r w:rsidR="006B069B" w:rsidRPr="00540F38">
        <w:rPr>
          <w:lang w:val="en-AU"/>
        </w:rPr>
        <w:t>re</w:t>
      </w:r>
      <w:r w:rsidRPr="00540F38">
        <w:rPr>
          <w:lang w:val="en-AU"/>
        </w:rPr>
        <w:t xml:space="preserve"> to work within their town boundaries</w:t>
      </w:r>
      <w:r w:rsidR="00CC6B81" w:rsidRPr="00540F38">
        <w:rPr>
          <w:lang w:val="en-AU"/>
        </w:rPr>
        <w:t xml:space="preserve"> and minimise outdoor activities to emergency works only.</w:t>
      </w:r>
    </w:p>
    <w:p w14:paraId="46778AE2" w14:textId="79216FED" w:rsidR="0007028E" w:rsidRDefault="0010720F" w:rsidP="00A95E4E">
      <w:pPr>
        <w:pStyle w:val="ProcedureNormal"/>
        <w:numPr>
          <w:ilvl w:val="0"/>
          <w:numId w:val="22"/>
        </w:numPr>
        <w:spacing w:before="120"/>
      </w:pPr>
      <w:r w:rsidRPr="00540F38">
        <w:rPr>
          <w:lang w:val="en-AU"/>
        </w:rPr>
        <w:lastRenderedPageBreak/>
        <w:t>Hot works are not to be undertaken by any GWMWater staff or contractors.</w:t>
      </w:r>
      <w:r w:rsidRPr="00540F38">
        <w:t xml:space="preserve"> </w:t>
      </w:r>
    </w:p>
    <w:p w14:paraId="12CFDA9A" w14:textId="77777777" w:rsidR="00674F03" w:rsidRPr="0059701D" w:rsidRDefault="00674F03" w:rsidP="00674F03">
      <w:pPr>
        <w:pStyle w:val="ProcedureNormal"/>
        <w:spacing w:before="120"/>
        <w:ind w:left="720"/>
      </w:pPr>
    </w:p>
    <w:p w14:paraId="7317CB1A" w14:textId="77777777" w:rsidR="004D7712" w:rsidRPr="0059701D" w:rsidRDefault="00BB5B43" w:rsidP="00542043">
      <w:pPr>
        <w:pStyle w:val="StyleProcedureHeading1JustifiedBefore12pt"/>
        <w:spacing w:before="0"/>
      </w:pPr>
      <w:r w:rsidRPr="0059701D">
        <w:t>DOCUMENTATION</w:t>
      </w:r>
    </w:p>
    <w:p w14:paraId="72D79DD4" w14:textId="77777777" w:rsidR="00807B3E" w:rsidRPr="0059701D" w:rsidRDefault="00807B3E" w:rsidP="00807B3E">
      <w:pPr>
        <w:pStyle w:val="StyleProcedureHeading1JustifiedBefore12pt"/>
        <w:numPr>
          <w:ilvl w:val="0"/>
          <w:numId w:val="0"/>
        </w:numPr>
        <w:spacing w:before="0"/>
      </w:pPr>
    </w:p>
    <w:p w14:paraId="54CEB1BF" w14:textId="77777777" w:rsidR="004D7712" w:rsidRPr="0059701D" w:rsidRDefault="004D7712" w:rsidP="00807B3E">
      <w:pPr>
        <w:pStyle w:val="ProcedureHeading2"/>
        <w:spacing w:before="0"/>
      </w:pPr>
      <w:r w:rsidRPr="0059701D">
        <w:t>References</w:t>
      </w:r>
    </w:p>
    <w:p w14:paraId="1885BD3D" w14:textId="458F3B71" w:rsidR="004D7712" w:rsidRPr="00F36375" w:rsidRDefault="005C1BE4" w:rsidP="0007028E">
      <w:pPr>
        <w:pStyle w:val="ProcedureNormal"/>
        <w:numPr>
          <w:ilvl w:val="0"/>
          <w:numId w:val="17"/>
        </w:numPr>
        <w:tabs>
          <w:tab w:val="left" w:pos="600"/>
        </w:tabs>
      </w:pPr>
      <w:hyperlink r:id="rId10" w:history="1">
        <w:r w:rsidR="0067541C" w:rsidRPr="00F36375">
          <w:rPr>
            <w:color w:val="0000FF"/>
            <w:szCs w:val="24"/>
            <w:highlight w:val="yellow"/>
            <w:u w:val="single"/>
            <w:lang w:val="en-AU"/>
          </w:rPr>
          <w:t>CMS/2690 Emergency Management Plan</w:t>
        </w:r>
      </w:hyperlink>
    </w:p>
    <w:p w14:paraId="5DB98043" w14:textId="77777777" w:rsidR="0066026C" w:rsidRPr="0059701D" w:rsidRDefault="005C1BE4" w:rsidP="0007028E">
      <w:pPr>
        <w:pStyle w:val="ProcedureNormal"/>
        <w:numPr>
          <w:ilvl w:val="0"/>
          <w:numId w:val="17"/>
        </w:numPr>
        <w:tabs>
          <w:tab w:val="left" w:pos="600"/>
        </w:tabs>
      </w:pPr>
      <w:hyperlink r:id="rId11" w:history="1">
        <w:r w:rsidR="0066026C" w:rsidRPr="0059701D">
          <w:rPr>
            <w:rStyle w:val="Hyperlink"/>
          </w:rPr>
          <w:t>Work Instruction – Total Fire Ban OMC</w:t>
        </w:r>
      </w:hyperlink>
    </w:p>
    <w:p w14:paraId="307A5F89" w14:textId="77777777" w:rsidR="004D7712" w:rsidRPr="0059701D" w:rsidRDefault="004D7712" w:rsidP="00B67383">
      <w:pPr>
        <w:pStyle w:val="ProcedureHeading2"/>
      </w:pPr>
      <w:r w:rsidRPr="0059701D">
        <w:t>Records</w:t>
      </w:r>
    </w:p>
    <w:p w14:paraId="61AFD266" w14:textId="77777777" w:rsidR="004D7712" w:rsidRPr="0059701D" w:rsidRDefault="004D7712" w:rsidP="0007028E">
      <w:pPr>
        <w:pStyle w:val="ProcedureNormal"/>
        <w:numPr>
          <w:ilvl w:val="0"/>
          <w:numId w:val="19"/>
        </w:numPr>
        <w:tabs>
          <w:tab w:val="left" w:pos="600"/>
        </w:tabs>
        <w:spacing w:after="0"/>
      </w:pPr>
      <w:r w:rsidRPr="0059701D">
        <w:t xml:space="preserve">Duty </w:t>
      </w:r>
      <w:r w:rsidR="00602139" w:rsidRPr="0059701D">
        <w:t>Manager</w:t>
      </w:r>
      <w:r w:rsidRPr="0059701D">
        <w:t xml:space="preserve"> Roster</w:t>
      </w:r>
    </w:p>
    <w:p w14:paraId="312785C5" w14:textId="77777777" w:rsidR="00163555" w:rsidRPr="0059701D" w:rsidRDefault="004D7712" w:rsidP="0007028E">
      <w:pPr>
        <w:pStyle w:val="ProcedureNormal"/>
        <w:numPr>
          <w:ilvl w:val="0"/>
          <w:numId w:val="19"/>
        </w:numPr>
        <w:tabs>
          <w:tab w:val="left" w:pos="600"/>
        </w:tabs>
        <w:spacing w:after="0"/>
      </w:pPr>
      <w:r w:rsidRPr="0059701D">
        <w:t>Incident Log</w:t>
      </w:r>
    </w:p>
    <w:p w14:paraId="5443B3ED" w14:textId="77777777" w:rsidR="004D7712" w:rsidRPr="0059701D" w:rsidRDefault="004D7712" w:rsidP="00BB5B43">
      <w:pPr>
        <w:pStyle w:val="ProcedureNormal"/>
        <w:tabs>
          <w:tab w:val="left" w:pos="600"/>
        </w:tabs>
        <w:spacing w:after="0"/>
      </w:pPr>
    </w:p>
    <w:p w14:paraId="445A7160" w14:textId="77777777" w:rsidR="004D7712" w:rsidRPr="0059701D" w:rsidRDefault="004D7712" w:rsidP="00D758EA">
      <w:pPr>
        <w:pStyle w:val="StyleProcedureHeading1JustifiedBefore12pt"/>
      </w:pPr>
      <w:r w:rsidRPr="0059701D">
        <w:t>D</w:t>
      </w:r>
      <w:r w:rsidR="00BB5B43" w:rsidRPr="0059701D">
        <w:t>EFINITIONS</w:t>
      </w:r>
    </w:p>
    <w:p w14:paraId="5CBC4764" w14:textId="77777777" w:rsidR="00807B3E" w:rsidRPr="0059701D" w:rsidRDefault="00807B3E" w:rsidP="00807B3E">
      <w:pPr>
        <w:pStyle w:val="StyleProcedureHeading1JustifiedBefore12pt"/>
        <w:numPr>
          <w:ilvl w:val="0"/>
          <w:numId w:val="0"/>
        </w:numPr>
        <w:spacing w:before="0"/>
      </w:pPr>
    </w:p>
    <w:p w14:paraId="3E0BA729" w14:textId="77777777" w:rsidR="00A95E4E" w:rsidRPr="0059701D" w:rsidRDefault="00004428" w:rsidP="00807B3E">
      <w:pPr>
        <w:pStyle w:val="ProcedureNormal"/>
        <w:tabs>
          <w:tab w:val="left" w:pos="4560"/>
        </w:tabs>
        <w:ind w:left="4559" w:hanging="4559"/>
      </w:pPr>
      <w:r w:rsidRPr="0067541C">
        <w:rPr>
          <w:b/>
          <w:highlight w:val="yellow"/>
        </w:rPr>
        <w:t>Catastrophic</w:t>
      </w:r>
      <w:r w:rsidR="00A95E4E" w:rsidRPr="0067541C">
        <w:rPr>
          <w:b/>
          <w:highlight w:val="yellow"/>
        </w:rPr>
        <w:t xml:space="preserve"> Day</w:t>
      </w:r>
      <w:r w:rsidR="00A95E4E" w:rsidRPr="0059701D">
        <w:tab/>
        <w:t xml:space="preserve">A day where the </w:t>
      </w:r>
      <w:r w:rsidR="00A95E4E" w:rsidRPr="0067541C">
        <w:rPr>
          <w:highlight w:val="yellow"/>
        </w:rPr>
        <w:t xml:space="preserve">Fire </w:t>
      </w:r>
      <w:r w:rsidR="00A53FAD" w:rsidRPr="0067541C">
        <w:rPr>
          <w:highlight w:val="yellow"/>
        </w:rPr>
        <w:t xml:space="preserve">Behavior </w:t>
      </w:r>
      <w:r w:rsidR="00A95E4E" w:rsidRPr="00F36375">
        <w:rPr>
          <w:highlight w:val="yellow"/>
        </w:rPr>
        <w:t>Index</w:t>
      </w:r>
      <w:r w:rsidR="00F2492C" w:rsidRPr="00F36375">
        <w:rPr>
          <w:highlight w:val="yellow"/>
        </w:rPr>
        <w:t xml:space="preserve"> </w:t>
      </w:r>
      <w:r w:rsidR="00A53FAD" w:rsidRPr="00F36375">
        <w:rPr>
          <w:highlight w:val="yellow"/>
        </w:rPr>
        <w:t>(</w:t>
      </w:r>
      <w:r w:rsidR="00A53FAD" w:rsidRPr="00540F38">
        <w:rPr>
          <w:highlight w:val="yellow"/>
        </w:rPr>
        <w:t>FBI)</w:t>
      </w:r>
      <w:r w:rsidR="00A95E4E" w:rsidRPr="00540F38">
        <w:rPr>
          <w:highlight w:val="yellow"/>
        </w:rPr>
        <w:t>,</w:t>
      </w:r>
      <w:r w:rsidR="00A95E4E" w:rsidRPr="0059701D">
        <w:t xml:space="preserve"> as calculated by the Bureau of Meteorology (BOM), exceeds 100 and the Fire Danger Rating is Catastrophic.</w:t>
      </w:r>
    </w:p>
    <w:p w14:paraId="6018B5F2" w14:textId="77777777" w:rsidR="00A95E4E" w:rsidRPr="0059701D" w:rsidRDefault="00A95E4E" w:rsidP="00A95E4E">
      <w:pPr>
        <w:pStyle w:val="ProcedureNormal"/>
        <w:tabs>
          <w:tab w:val="left" w:pos="4560"/>
        </w:tabs>
        <w:spacing w:before="120"/>
        <w:ind w:left="4560" w:hanging="4560"/>
      </w:pPr>
      <w:r w:rsidRPr="0059701D">
        <w:rPr>
          <w:b/>
        </w:rPr>
        <w:t>Day of Total Fire Ban</w:t>
      </w:r>
      <w:r w:rsidRPr="0059701D">
        <w:tab/>
        <w:t xml:space="preserve">A day so declared by the Country Fire Authority pursuant to section 40 of the </w:t>
      </w:r>
      <w:r w:rsidRPr="0059701D">
        <w:rPr>
          <w:i/>
        </w:rPr>
        <w:t xml:space="preserve">Country Fire Authority Act </w:t>
      </w:r>
      <w:r w:rsidRPr="0059701D">
        <w:t xml:space="preserve">1958. </w:t>
      </w:r>
      <w:r w:rsidR="00546E88" w:rsidRPr="0059701D">
        <w:t>Generally,</w:t>
      </w:r>
      <w:r w:rsidRPr="0059701D">
        <w:t xml:space="preserve"> this will occur when the Fire Danger Index</w:t>
      </w:r>
      <w:r w:rsidR="00FF715B" w:rsidRPr="0059701D">
        <w:t xml:space="preserve"> exceeds 50 (Fire Danger Rating </w:t>
      </w:r>
      <w:r w:rsidRPr="0059701D">
        <w:t>of Severe or above).</w:t>
      </w:r>
    </w:p>
    <w:p w14:paraId="2F08EDE4" w14:textId="77777777" w:rsidR="00A95E4E" w:rsidRPr="0059701D" w:rsidRDefault="00A95E4E" w:rsidP="00A95E4E">
      <w:pPr>
        <w:pStyle w:val="ProcedureNormal"/>
        <w:tabs>
          <w:tab w:val="left" w:pos="4560"/>
        </w:tabs>
        <w:spacing w:before="120"/>
        <w:ind w:left="4560" w:hanging="4560"/>
      </w:pPr>
      <w:r w:rsidRPr="0059701D">
        <w:rPr>
          <w:b/>
        </w:rPr>
        <w:t>Fire Danger Index</w:t>
      </w:r>
      <w:r w:rsidRPr="0059701D">
        <w:tab/>
        <w:t xml:space="preserve">A forecast made by the BOM of the fire danger outlook considering elements of the predicted weather including temperature, relative humidity, wind speed, and dryness of vegetation. </w:t>
      </w:r>
    </w:p>
    <w:p w14:paraId="049B09AA" w14:textId="77777777" w:rsidR="00A95E4E" w:rsidRPr="0059701D" w:rsidRDefault="00A95E4E" w:rsidP="00A95E4E">
      <w:pPr>
        <w:pStyle w:val="ProcedureNormal"/>
        <w:tabs>
          <w:tab w:val="left" w:pos="4560"/>
        </w:tabs>
        <w:spacing w:before="120"/>
        <w:ind w:left="4560" w:hanging="4560"/>
      </w:pPr>
      <w:r w:rsidRPr="0059701D">
        <w:rPr>
          <w:b/>
        </w:rPr>
        <w:t>Fire Danger Period</w:t>
      </w:r>
      <w:r w:rsidRPr="0059701D">
        <w:tab/>
        <w:t>The fire danger period is nominally between 1 November and 1 April each year.</w:t>
      </w:r>
    </w:p>
    <w:p w14:paraId="4ACE7D53" w14:textId="77777777" w:rsidR="00A95E4E" w:rsidRPr="0059701D" w:rsidRDefault="00A95E4E" w:rsidP="00807B3E">
      <w:pPr>
        <w:pStyle w:val="ProcedureNormal"/>
        <w:tabs>
          <w:tab w:val="left" w:pos="4560"/>
        </w:tabs>
        <w:spacing w:before="120" w:after="0"/>
        <w:ind w:left="4559" w:hanging="4559"/>
      </w:pPr>
      <w:r w:rsidRPr="0059701D">
        <w:rPr>
          <w:b/>
        </w:rPr>
        <w:t>Fire Danger Rating</w:t>
      </w:r>
      <w:r w:rsidRPr="0059701D">
        <w:tab/>
        <w:t>A prediction of fire behaviour including how hard it would be to put out a fire once it starts.</w:t>
      </w:r>
    </w:p>
    <w:p w14:paraId="6EAAA653" w14:textId="60208706" w:rsidR="00A95E4E" w:rsidRPr="00FC6EFA" w:rsidRDefault="005C1BE4" w:rsidP="00FF715B">
      <w:pPr>
        <w:pStyle w:val="ProcedureNormal"/>
        <w:tabs>
          <w:tab w:val="left" w:pos="4560"/>
        </w:tabs>
        <w:spacing w:before="120"/>
        <w:ind w:left="4560" w:hanging="4560"/>
        <w:jc w:val="center"/>
      </w:pPr>
      <w:bookmarkStart w:id="2" w:name="_Hlk108102968"/>
      <w:r>
        <w:rPr>
          <w:noProof/>
        </w:rPr>
        <w:lastRenderedPageBreak/>
        <w:drawing>
          <wp:inline distT="0" distB="0" distL="0" distR="0" wp14:anchorId="7506B4DA" wp14:editId="10F9F45E">
            <wp:extent cx="6612255" cy="2047240"/>
            <wp:effectExtent l="0" t="0" r="0" b="0"/>
            <wp:docPr id="2" name="Picture 1" descr="cid:image001.png@01D8921B.C828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921B.C82834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2255" cy="2047240"/>
                    </a:xfrm>
                    <a:prstGeom prst="rect">
                      <a:avLst/>
                    </a:prstGeom>
                    <a:noFill/>
                    <a:ln>
                      <a:noFill/>
                    </a:ln>
                  </pic:spPr>
                </pic:pic>
              </a:graphicData>
            </a:graphic>
          </wp:inline>
        </w:drawing>
      </w:r>
      <w:bookmarkEnd w:id="2"/>
    </w:p>
    <w:sectPr w:rsidR="00A95E4E" w:rsidRPr="00FC6EFA">
      <w:headerReference w:type="default" r:id="rId13"/>
      <w:footerReference w:type="default" r:id="rId14"/>
      <w:pgSz w:w="11906" w:h="16838"/>
      <w:pgMar w:top="1618" w:right="1134" w:bottom="1079" w:left="1134" w:header="53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BBAC" w14:textId="77777777" w:rsidR="00D05F3D" w:rsidRDefault="00D05F3D">
      <w:pPr>
        <w:pStyle w:val="ProcedureNormal"/>
        <w:rPr>
          <w:szCs w:val="24"/>
          <w:lang w:val="en-AU"/>
        </w:rPr>
      </w:pPr>
      <w:r>
        <w:separator/>
      </w:r>
    </w:p>
  </w:endnote>
  <w:endnote w:type="continuationSeparator" w:id="0">
    <w:p w14:paraId="507C9A71" w14:textId="77777777" w:rsidR="00D05F3D" w:rsidRDefault="00D05F3D">
      <w:pPr>
        <w:pStyle w:val="ProcedureNormal"/>
        <w:rPr>
          <w:szCs w:val="24"/>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318" w:type="dxa"/>
      <w:tblLook w:val="0000" w:firstRow="0" w:lastRow="0" w:firstColumn="0" w:lastColumn="0" w:noHBand="0" w:noVBand="0"/>
    </w:tblPr>
    <w:tblGrid>
      <w:gridCol w:w="4566"/>
      <w:gridCol w:w="2160"/>
      <w:gridCol w:w="3906"/>
    </w:tblGrid>
    <w:tr w:rsidR="00511445" w14:paraId="0BA837A6" w14:textId="77777777" w:rsidTr="001B0D40">
      <w:tc>
        <w:tcPr>
          <w:tcW w:w="4566" w:type="dxa"/>
          <w:tcBorders>
            <w:top w:val="single" w:sz="4" w:space="0" w:color="auto"/>
          </w:tcBorders>
        </w:tcPr>
        <w:p w14:paraId="525EB54B" w14:textId="77777777" w:rsidR="00511445" w:rsidRDefault="00511445">
          <w:pPr>
            <w:rPr>
              <w:sz w:val="16"/>
            </w:rPr>
          </w:pPr>
          <w:r>
            <w:rPr>
              <w:sz w:val="16"/>
            </w:rPr>
            <w:t>Responsible Person: Executive Manager Service Delivery</w:t>
          </w:r>
        </w:p>
      </w:tc>
      <w:tc>
        <w:tcPr>
          <w:tcW w:w="2160" w:type="dxa"/>
          <w:tcBorders>
            <w:top w:val="single" w:sz="4" w:space="0" w:color="auto"/>
          </w:tcBorders>
        </w:tcPr>
        <w:p w14:paraId="165DD5B1" w14:textId="77777777" w:rsidR="00511445" w:rsidRDefault="00511445">
          <w:pPr>
            <w:jc w:val="center"/>
            <w:rPr>
              <w:sz w:val="16"/>
            </w:rPr>
          </w:pPr>
          <w:r>
            <w:rPr>
              <w:sz w:val="16"/>
            </w:rPr>
            <w:t>Uncontrolled when printed</w:t>
          </w:r>
        </w:p>
      </w:tc>
      <w:tc>
        <w:tcPr>
          <w:tcW w:w="3906" w:type="dxa"/>
          <w:tcBorders>
            <w:top w:val="single" w:sz="4" w:space="0" w:color="auto"/>
          </w:tcBorders>
        </w:tcPr>
        <w:p w14:paraId="28DB99CE" w14:textId="77777777" w:rsidR="00511445" w:rsidRDefault="00511445">
          <w:pP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2C7D55">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2C7D55">
            <w:rPr>
              <w:noProof/>
              <w:sz w:val="16"/>
            </w:rPr>
            <w:t>5</w:t>
          </w:r>
          <w:r>
            <w:rPr>
              <w:sz w:val="16"/>
            </w:rPr>
            <w:fldChar w:fldCharType="end"/>
          </w:r>
        </w:p>
      </w:tc>
    </w:tr>
    <w:tr w:rsidR="00511445" w14:paraId="0364FD9B" w14:textId="77777777" w:rsidTr="001B0D40">
      <w:tc>
        <w:tcPr>
          <w:tcW w:w="4566" w:type="dxa"/>
        </w:tcPr>
        <w:p w14:paraId="4F6B9D8A" w14:textId="77777777" w:rsidR="00511445" w:rsidRDefault="00511445" w:rsidP="00564B44">
          <w:pPr>
            <w:rPr>
              <w:sz w:val="16"/>
            </w:rPr>
          </w:pPr>
          <w:r>
            <w:rPr>
              <w:sz w:val="16"/>
            </w:rPr>
            <w:t xml:space="preserve">Authorised By:  </w:t>
          </w:r>
          <w:r w:rsidR="00564B44">
            <w:rPr>
              <w:sz w:val="16"/>
            </w:rPr>
            <w:t>Senior Leadership Team</w:t>
          </w:r>
        </w:p>
      </w:tc>
      <w:tc>
        <w:tcPr>
          <w:tcW w:w="2160" w:type="dxa"/>
        </w:tcPr>
        <w:p w14:paraId="6E87A6D9" w14:textId="77777777" w:rsidR="00511445" w:rsidRDefault="00511445">
          <w:pPr>
            <w:jc w:val="center"/>
            <w:rPr>
              <w:sz w:val="16"/>
            </w:rPr>
          </w:pPr>
        </w:p>
      </w:tc>
      <w:tc>
        <w:tcPr>
          <w:tcW w:w="3906" w:type="dxa"/>
        </w:tcPr>
        <w:p w14:paraId="6518CC5D" w14:textId="48D422C8" w:rsidR="00511445" w:rsidRDefault="00511445">
          <w:pPr>
            <w:tabs>
              <w:tab w:val="left" w:pos="2100"/>
              <w:tab w:val="right" w:pos="3117"/>
            </w:tabs>
            <w:jc w:val="right"/>
            <w:rPr>
              <w:sz w:val="16"/>
            </w:rPr>
          </w:pPr>
          <w:r>
            <w:rPr>
              <w:sz w:val="16"/>
            </w:rPr>
            <w:t xml:space="preserve">Print Date: </w:t>
          </w:r>
          <w:r>
            <w:rPr>
              <w:sz w:val="16"/>
            </w:rPr>
            <w:fldChar w:fldCharType="begin"/>
          </w:r>
          <w:r>
            <w:rPr>
              <w:sz w:val="16"/>
            </w:rPr>
            <w:instrText xml:space="preserve"> TIME \@ "d MMMM yyyy" </w:instrText>
          </w:r>
          <w:r>
            <w:rPr>
              <w:sz w:val="16"/>
            </w:rPr>
            <w:fldChar w:fldCharType="separate"/>
          </w:r>
          <w:r w:rsidR="005C1BE4">
            <w:rPr>
              <w:noProof/>
              <w:sz w:val="16"/>
            </w:rPr>
            <w:t>10 January 2023</w:t>
          </w:r>
          <w:r>
            <w:rPr>
              <w:sz w:val="16"/>
            </w:rPr>
            <w:fldChar w:fldCharType="end"/>
          </w:r>
        </w:p>
      </w:tc>
    </w:tr>
    <w:tr w:rsidR="00511445" w14:paraId="47F85483" w14:textId="77777777" w:rsidTr="001B0D40">
      <w:trPr>
        <w:cantSplit/>
      </w:trPr>
      <w:tc>
        <w:tcPr>
          <w:tcW w:w="10632" w:type="dxa"/>
          <w:gridSpan w:val="3"/>
        </w:tcPr>
        <w:p w14:paraId="5461D369" w14:textId="77777777" w:rsidR="00511445" w:rsidRDefault="00511445">
          <w:pPr>
            <w:tabs>
              <w:tab w:val="left" w:pos="2100"/>
              <w:tab w:val="right" w:pos="3117"/>
            </w:tabs>
            <w:jc w:val="center"/>
            <w:rPr>
              <w:sz w:val="16"/>
            </w:rPr>
          </w:pPr>
          <w:r>
            <w:rPr>
              <w:sz w:val="16"/>
            </w:rPr>
            <w:t>The controlled copy of this document is available on the intranet. Printed copies are only current as of the print date.</w:t>
          </w:r>
        </w:p>
      </w:tc>
    </w:tr>
  </w:tbl>
  <w:p w14:paraId="1CCEF89D" w14:textId="77777777" w:rsidR="00511445" w:rsidRDefault="00511445">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2A9D8" w14:textId="77777777" w:rsidR="00D05F3D" w:rsidRDefault="00D05F3D">
      <w:pPr>
        <w:pStyle w:val="ProcedureNormal"/>
        <w:rPr>
          <w:szCs w:val="24"/>
          <w:lang w:val="en-AU"/>
        </w:rPr>
      </w:pPr>
      <w:r>
        <w:separator/>
      </w:r>
    </w:p>
  </w:footnote>
  <w:footnote w:type="continuationSeparator" w:id="0">
    <w:p w14:paraId="1CD88F3B" w14:textId="77777777" w:rsidR="00D05F3D" w:rsidRDefault="00D05F3D">
      <w:pPr>
        <w:pStyle w:val="ProcedureNormal"/>
        <w:rPr>
          <w:szCs w:val="24"/>
          <w:lang w:val="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76" w:type="dxa"/>
      <w:tblLook w:val="0000" w:firstRow="0" w:lastRow="0" w:firstColumn="0" w:lastColumn="0" w:noHBand="0" w:noVBand="0"/>
    </w:tblPr>
    <w:tblGrid>
      <w:gridCol w:w="1985"/>
      <w:gridCol w:w="5812"/>
      <w:gridCol w:w="2552"/>
    </w:tblGrid>
    <w:tr w:rsidR="00511445" w:rsidRPr="00434264" w14:paraId="3A18F617" w14:textId="77777777" w:rsidTr="001B0D40">
      <w:trPr>
        <w:cantSplit/>
        <w:trHeight w:val="921"/>
      </w:trPr>
      <w:tc>
        <w:tcPr>
          <w:tcW w:w="1985" w:type="dxa"/>
          <w:tcBorders>
            <w:bottom w:val="single" w:sz="4" w:space="0" w:color="auto"/>
          </w:tcBorders>
          <w:vAlign w:val="center"/>
        </w:tcPr>
        <w:p w14:paraId="06D5B8B2" w14:textId="2B26E4A2" w:rsidR="00511445" w:rsidRDefault="005C1BE4">
          <w:pPr>
            <w:tabs>
              <w:tab w:val="right" w:pos="9450"/>
            </w:tabs>
            <w:rPr>
              <w:bCs/>
              <w:sz w:val="18"/>
            </w:rPr>
          </w:pPr>
          <w:r>
            <w:rPr>
              <w:bCs/>
              <w:noProof/>
              <w:sz w:val="18"/>
            </w:rPr>
            <w:drawing>
              <wp:inline distT="0" distB="0" distL="0" distR="0" wp14:anchorId="3E2B9B6D" wp14:editId="221C1A3A">
                <wp:extent cx="559435" cy="464185"/>
                <wp:effectExtent l="0" t="0" r="0" b="0"/>
                <wp:docPr id="3" name="Picture 3"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464185"/>
                        </a:xfrm>
                        <a:prstGeom prst="rect">
                          <a:avLst/>
                        </a:prstGeom>
                        <a:noFill/>
                        <a:ln>
                          <a:noFill/>
                        </a:ln>
                      </pic:spPr>
                    </pic:pic>
                  </a:graphicData>
                </a:graphic>
              </wp:inline>
            </w:drawing>
          </w:r>
        </w:p>
        <w:p w14:paraId="501B3597" w14:textId="77777777" w:rsidR="00511445" w:rsidRDefault="00511445">
          <w:pPr>
            <w:tabs>
              <w:tab w:val="right" w:pos="9450"/>
            </w:tabs>
            <w:rPr>
              <w:bCs/>
              <w:sz w:val="18"/>
            </w:rPr>
          </w:pPr>
          <w:r>
            <w:rPr>
              <w:bCs/>
              <w:color w:val="336699"/>
              <w:sz w:val="16"/>
            </w:rPr>
            <w:t>Management System</w:t>
          </w:r>
        </w:p>
      </w:tc>
      <w:tc>
        <w:tcPr>
          <w:tcW w:w="5812" w:type="dxa"/>
          <w:tcBorders>
            <w:bottom w:val="single" w:sz="4" w:space="0" w:color="auto"/>
          </w:tcBorders>
          <w:vAlign w:val="center"/>
        </w:tcPr>
        <w:p w14:paraId="3EE3D326" w14:textId="77777777" w:rsidR="00511445" w:rsidRPr="0083548C" w:rsidRDefault="00511445">
          <w:pPr>
            <w:tabs>
              <w:tab w:val="right" w:pos="9450"/>
            </w:tabs>
            <w:jc w:val="center"/>
            <w:rPr>
              <w:rFonts w:ascii="Book Antiqua" w:hAnsi="Book Antiqua"/>
              <w:b/>
              <w:sz w:val="36"/>
            </w:rPr>
          </w:pPr>
          <w:r w:rsidRPr="0083548C">
            <w:rPr>
              <w:rFonts w:ascii="Book Antiqua" w:hAnsi="Book Antiqua"/>
              <w:b/>
              <w:sz w:val="36"/>
            </w:rPr>
            <w:t>Day of Total Fire Ban Procedure</w:t>
          </w:r>
        </w:p>
      </w:tc>
      <w:tc>
        <w:tcPr>
          <w:tcW w:w="2552" w:type="dxa"/>
          <w:tcBorders>
            <w:bottom w:val="single" w:sz="4" w:space="0" w:color="auto"/>
          </w:tcBorders>
          <w:vAlign w:val="center"/>
        </w:tcPr>
        <w:p w14:paraId="452824DB" w14:textId="77777777" w:rsidR="00511445" w:rsidRPr="00434264" w:rsidRDefault="00511445">
          <w:pPr>
            <w:tabs>
              <w:tab w:val="right" w:pos="9450"/>
            </w:tabs>
            <w:jc w:val="right"/>
            <w:rPr>
              <w:rFonts w:ascii="Book Antiqua" w:hAnsi="Book Antiqua"/>
              <w:sz w:val="16"/>
              <w:lang w:val="de-DE"/>
            </w:rPr>
          </w:pPr>
        </w:p>
        <w:p w14:paraId="301ACD69" w14:textId="77777777" w:rsidR="00511445" w:rsidRPr="00434264" w:rsidRDefault="00511445">
          <w:pPr>
            <w:tabs>
              <w:tab w:val="right" w:pos="9450"/>
            </w:tabs>
            <w:jc w:val="right"/>
            <w:rPr>
              <w:rFonts w:ascii="Book Antiqua" w:hAnsi="Book Antiqua"/>
              <w:sz w:val="16"/>
              <w:lang w:val="de-DE"/>
            </w:rPr>
          </w:pPr>
          <w:r w:rsidRPr="00434264">
            <w:rPr>
              <w:rFonts w:ascii="Book Antiqua" w:hAnsi="Book Antiqua"/>
              <w:sz w:val="16"/>
              <w:lang w:val="de-DE"/>
            </w:rPr>
            <w:t>TRIM REF:  CMS/2343</w:t>
          </w:r>
        </w:p>
        <w:p w14:paraId="0F47058C" w14:textId="14733E1F" w:rsidR="00511445" w:rsidRPr="00434264" w:rsidRDefault="00B50624">
          <w:pPr>
            <w:tabs>
              <w:tab w:val="right" w:pos="9450"/>
            </w:tabs>
            <w:jc w:val="right"/>
            <w:rPr>
              <w:rFonts w:ascii="Book Antiqua" w:hAnsi="Book Antiqua"/>
              <w:sz w:val="16"/>
              <w:lang w:val="de-DE"/>
            </w:rPr>
          </w:pPr>
          <w:r w:rsidRPr="00434264">
            <w:rPr>
              <w:rFonts w:ascii="Book Antiqua" w:hAnsi="Book Antiqua"/>
              <w:sz w:val="16"/>
              <w:lang w:val="de-DE"/>
            </w:rPr>
            <w:t>Version</w:t>
          </w:r>
          <w:r w:rsidR="00511445" w:rsidRPr="00434264">
            <w:rPr>
              <w:rFonts w:ascii="Book Antiqua" w:hAnsi="Book Antiqua"/>
              <w:sz w:val="16"/>
              <w:lang w:val="de-DE"/>
            </w:rPr>
            <w:t xml:space="preserve">: </w:t>
          </w:r>
          <w:r w:rsidR="00F36375">
            <w:rPr>
              <w:rFonts w:ascii="Book Antiqua" w:hAnsi="Book Antiqua"/>
              <w:sz w:val="16"/>
              <w:lang w:val="de-DE"/>
            </w:rPr>
            <w:t>0</w:t>
          </w:r>
          <w:r w:rsidR="00540F38" w:rsidRPr="00F36375">
            <w:rPr>
              <w:rFonts w:ascii="Book Antiqua" w:hAnsi="Book Antiqua"/>
              <w:sz w:val="16"/>
              <w:highlight w:val="yellow"/>
              <w:lang w:val="de-DE"/>
            </w:rPr>
            <w:t>7</w:t>
          </w:r>
        </w:p>
        <w:p w14:paraId="32AC7B84" w14:textId="568EFC0F" w:rsidR="00511445" w:rsidRPr="00434264" w:rsidRDefault="00B50624">
          <w:pPr>
            <w:tabs>
              <w:tab w:val="right" w:pos="9450"/>
            </w:tabs>
            <w:jc w:val="right"/>
            <w:rPr>
              <w:rFonts w:ascii="Book Antiqua" w:hAnsi="Book Antiqua"/>
              <w:sz w:val="16"/>
            </w:rPr>
          </w:pPr>
          <w:r w:rsidRPr="00434264">
            <w:rPr>
              <w:rFonts w:ascii="Book Antiqua" w:hAnsi="Book Antiqua"/>
              <w:sz w:val="16"/>
            </w:rPr>
            <w:t>Date Approved</w:t>
          </w:r>
          <w:r w:rsidR="00F36375">
            <w:rPr>
              <w:rFonts w:ascii="Book Antiqua" w:hAnsi="Book Antiqua"/>
              <w:sz w:val="16"/>
            </w:rPr>
            <w:t xml:space="preserve">: </w:t>
          </w:r>
          <w:r w:rsidR="00FC722F">
            <w:rPr>
              <w:rFonts w:ascii="Book Antiqua" w:hAnsi="Book Antiqua"/>
              <w:sz w:val="16"/>
            </w:rPr>
            <w:t>19</w:t>
          </w:r>
          <w:r w:rsidR="00F36375">
            <w:rPr>
              <w:rFonts w:ascii="Book Antiqua" w:hAnsi="Book Antiqua"/>
              <w:sz w:val="16"/>
            </w:rPr>
            <w:t>/</w:t>
          </w:r>
          <w:r w:rsidR="00FC722F">
            <w:rPr>
              <w:rFonts w:ascii="Book Antiqua" w:hAnsi="Book Antiqua"/>
              <w:sz w:val="16"/>
            </w:rPr>
            <w:t>07</w:t>
          </w:r>
          <w:r w:rsidR="00F36375">
            <w:rPr>
              <w:rFonts w:ascii="Book Antiqua" w:hAnsi="Book Antiqua"/>
              <w:sz w:val="16"/>
            </w:rPr>
            <w:t>/2022</w:t>
          </w:r>
          <w:r w:rsidR="00E7225D" w:rsidRPr="00434264">
            <w:rPr>
              <w:rFonts w:ascii="Book Antiqua" w:hAnsi="Book Antiqua"/>
              <w:sz w:val="16"/>
            </w:rPr>
            <w:t xml:space="preserve"> </w:t>
          </w:r>
          <w:r w:rsidR="0076763D" w:rsidRPr="00434264">
            <w:rPr>
              <w:rFonts w:ascii="Book Antiqua" w:hAnsi="Book Antiqua"/>
              <w:sz w:val="16"/>
            </w:rPr>
            <w:t xml:space="preserve"> </w:t>
          </w:r>
        </w:p>
        <w:p w14:paraId="1E0B3E83" w14:textId="21E5FC10" w:rsidR="00511445" w:rsidRPr="00434264" w:rsidRDefault="00511445">
          <w:pPr>
            <w:tabs>
              <w:tab w:val="right" w:pos="9450"/>
            </w:tabs>
            <w:jc w:val="right"/>
            <w:rPr>
              <w:rFonts w:ascii="Book Antiqua" w:hAnsi="Book Antiqua"/>
              <w:sz w:val="16"/>
            </w:rPr>
          </w:pPr>
          <w:r w:rsidRPr="00434264">
            <w:rPr>
              <w:rFonts w:ascii="Book Antiqua" w:hAnsi="Book Antiqua"/>
              <w:sz w:val="16"/>
            </w:rPr>
            <w:t>Review</w:t>
          </w:r>
          <w:r w:rsidR="00B50624" w:rsidRPr="00434264">
            <w:rPr>
              <w:rFonts w:ascii="Book Antiqua" w:hAnsi="Book Antiqua"/>
              <w:sz w:val="16"/>
            </w:rPr>
            <w:t xml:space="preserve"> Date</w:t>
          </w:r>
          <w:r w:rsidR="00F36375">
            <w:rPr>
              <w:rFonts w:ascii="Book Antiqua" w:hAnsi="Book Antiqua"/>
              <w:sz w:val="16"/>
            </w:rPr>
            <w:t xml:space="preserve">: </w:t>
          </w:r>
          <w:r w:rsidR="00FC722F">
            <w:rPr>
              <w:rFonts w:ascii="Book Antiqua" w:hAnsi="Book Antiqua"/>
              <w:sz w:val="16"/>
            </w:rPr>
            <w:t>19</w:t>
          </w:r>
          <w:r w:rsidR="00F36375">
            <w:rPr>
              <w:rFonts w:ascii="Book Antiqua" w:hAnsi="Book Antiqua"/>
              <w:sz w:val="16"/>
            </w:rPr>
            <w:t>/</w:t>
          </w:r>
          <w:r w:rsidR="00FC722F">
            <w:rPr>
              <w:rFonts w:ascii="Book Antiqua" w:hAnsi="Book Antiqua"/>
              <w:sz w:val="16"/>
            </w:rPr>
            <w:t>07</w:t>
          </w:r>
          <w:r w:rsidR="00F36375">
            <w:rPr>
              <w:rFonts w:ascii="Book Antiqua" w:hAnsi="Book Antiqua"/>
              <w:sz w:val="16"/>
            </w:rPr>
            <w:t>/2027</w:t>
          </w:r>
          <w:r w:rsidRPr="00434264">
            <w:rPr>
              <w:rFonts w:ascii="Book Antiqua" w:hAnsi="Book Antiqua"/>
              <w:sz w:val="16"/>
            </w:rPr>
            <w:t xml:space="preserve"> </w:t>
          </w:r>
        </w:p>
        <w:p w14:paraId="3069ECFA" w14:textId="77777777" w:rsidR="00B50624" w:rsidRPr="00434264" w:rsidRDefault="00B50624">
          <w:pPr>
            <w:tabs>
              <w:tab w:val="right" w:pos="9450"/>
            </w:tabs>
            <w:jc w:val="right"/>
            <w:rPr>
              <w:rFonts w:ascii="Book Antiqua" w:hAnsi="Book Antiqua"/>
              <w:sz w:val="16"/>
            </w:rPr>
          </w:pPr>
          <w:r w:rsidRPr="00434264">
            <w:rPr>
              <w:rFonts w:ascii="Book Antiqua" w:hAnsi="Book Antiqua"/>
              <w:sz w:val="16"/>
            </w:rPr>
            <w:t xml:space="preserve">Latest changes </w:t>
          </w:r>
          <w:r w:rsidRPr="00434264">
            <w:rPr>
              <w:rFonts w:ascii="Book Antiqua" w:hAnsi="Book Antiqua"/>
              <w:sz w:val="16"/>
              <w:highlight w:val="yellow"/>
            </w:rPr>
            <w:t>highlighted</w:t>
          </w:r>
        </w:p>
        <w:p w14:paraId="6AB4EDF0" w14:textId="77777777" w:rsidR="00511445" w:rsidRPr="00434264" w:rsidRDefault="00511445">
          <w:pPr>
            <w:tabs>
              <w:tab w:val="right" w:pos="9450"/>
            </w:tabs>
            <w:jc w:val="right"/>
            <w:rPr>
              <w:rFonts w:ascii="Book Antiqua" w:hAnsi="Book Antiqua"/>
              <w:sz w:val="18"/>
            </w:rPr>
          </w:pPr>
        </w:p>
      </w:tc>
    </w:tr>
  </w:tbl>
  <w:p w14:paraId="6AA5AB64" w14:textId="77777777" w:rsidR="00511445" w:rsidRDefault="00511445">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A3D"/>
    <w:multiLevelType w:val="hybridMultilevel"/>
    <w:tmpl w:val="F440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57AE3"/>
    <w:multiLevelType w:val="hybridMultilevel"/>
    <w:tmpl w:val="2F60D1A6"/>
    <w:lvl w:ilvl="0" w:tplc="9304A61C">
      <w:start w:val="1"/>
      <w:numFmt w:val="lowerLetter"/>
      <w:lvlText w:val="%1)"/>
      <w:lvlJc w:val="left"/>
      <w:pPr>
        <w:ind w:left="720" w:hanging="360"/>
      </w:pPr>
      <w:rPr>
        <w:rFonts w:ascii="Book Antiqua" w:hAnsi="Book Antiqua"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71403D"/>
    <w:multiLevelType w:val="hybridMultilevel"/>
    <w:tmpl w:val="660E867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F885573"/>
    <w:multiLevelType w:val="hybridMultilevel"/>
    <w:tmpl w:val="DE8E8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124D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F1204E3"/>
    <w:multiLevelType w:val="multilevel"/>
    <w:tmpl w:val="E4925308"/>
    <w:lvl w:ilvl="0">
      <w:start w:val="1"/>
      <w:numFmt w:val="decimal"/>
      <w:pStyle w:val="StyleProcedureHeading1JustifiedBefore12pt"/>
      <w:lvlText w:val="%1."/>
      <w:lvlJc w:val="left"/>
      <w:pPr>
        <w:tabs>
          <w:tab w:val="num" w:pos="567"/>
        </w:tabs>
        <w:ind w:left="567" w:hanging="567"/>
      </w:pPr>
      <w:rPr>
        <w:rFonts w:ascii="Book Antiqua" w:hAnsi="Book Antiqua"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ProcedureHeading2"/>
      <w:lvlText w:val="%1.%2"/>
      <w:lvlJc w:val="left"/>
      <w:pPr>
        <w:tabs>
          <w:tab w:val="num" w:pos="567"/>
        </w:tabs>
        <w:ind w:left="567" w:hanging="567"/>
      </w:pPr>
      <w:rPr>
        <w:rFonts w:ascii="Book Antiqua" w:hAnsi="Book Antiqua"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724"/>
        </w:tabs>
        <w:ind w:left="2724" w:hanging="870"/>
      </w:pPr>
      <w:rPr>
        <w:rFonts w:hint="default"/>
      </w:rPr>
    </w:lvl>
    <w:lvl w:ilvl="3">
      <w:start w:val="1"/>
      <w:numFmt w:val="decimal"/>
      <w:lvlText w:val="%1.%2.%3.%4"/>
      <w:lvlJc w:val="left"/>
      <w:pPr>
        <w:tabs>
          <w:tab w:val="num" w:pos="3501"/>
        </w:tabs>
        <w:ind w:left="3501" w:hanging="1080"/>
      </w:pPr>
      <w:rPr>
        <w:rFonts w:hint="default"/>
      </w:rPr>
    </w:lvl>
    <w:lvl w:ilvl="4">
      <w:start w:val="1"/>
      <w:numFmt w:val="decimal"/>
      <w:lvlText w:val="%1.%2.%3.%4.%5"/>
      <w:lvlJc w:val="left"/>
      <w:pPr>
        <w:tabs>
          <w:tab w:val="num" w:pos="4068"/>
        </w:tabs>
        <w:ind w:left="4068"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489"/>
        </w:tabs>
        <w:ind w:left="6489" w:hanging="1800"/>
      </w:pPr>
      <w:rPr>
        <w:rFonts w:hint="default"/>
      </w:rPr>
    </w:lvl>
    <w:lvl w:ilvl="8">
      <w:start w:val="1"/>
      <w:numFmt w:val="decimal"/>
      <w:lvlText w:val="%1.%2.%3.%4.%5.%6.%7.%8.%9"/>
      <w:lvlJc w:val="left"/>
      <w:pPr>
        <w:tabs>
          <w:tab w:val="num" w:pos="7056"/>
        </w:tabs>
        <w:ind w:left="7056" w:hanging="1800"/>
      </w:pPr>
      <w:rPr>
        <w:rFonts w:hint="default"/>
      </w:rPr>
    </w:lvl>
  </w:abstractNum>
  <w:abstractNum w:abstractNumId="6" w15:restartNumberingAfterBreak="0">
    <w:nsid w:val="33714582"/>
    <w:multiLevelType w:val="hybridMultilevel"/>
    <w:tmpl w:val="9B3A6AB6"/>
    <w:lvl w:ilvl="0" w:tplc="9304A61C">
      <w:start w:val="1"/>
      <w:numFmt w:val="lowerLetter"/>
      <w:lvlText w:val="%1)"/>
      <w:lvlJc w:val="left"/>
      <w:pPr>
        <w:ind w:left="720" w:hanging="360"/>
      </w:pPr>
      <w:rPr>
        <w:rFonts w:ascii="Book Antiqua" w:hAnsi="Book Antiqua"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6B6AF6"/>
    <w:multiLevelType w:val="hybridMultilevel"/>
    <w:tmpl w:val="4C8E632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4DD65D0F"/>
    <w:multiLevelType w:val="hybridMultilevel"/>
    <w:tmpl w:val="D5F84AAE"/>
    <w:lvl w:ilvl="0" w:tplc="9304A61C">
      <w:start w:val="1"/>
      <w:numFmt w:val="lowerLetter"/>
      <w:lvlText w:val="%1)"/>
      <w:lvlJc w:val="left"/>
      <w:pPr>
        <w:ind w:left="840" w:hanging="840"/>
      </w:pPr>
      <w:rPr>
        <w:rFonts w:ascii="Book Antiqua" w:hAnsi="Book Antiqua" w:hint="default"/>
        <w:b w:val="0"/>
        <w:i w:val="0"/>
      </w:rPr>
    </w:lvl>
    <w:lvl w:ilvl="1" w:tplc="7848EA0A">
      <w:start w:val="1"/>
      <w:numFmt w:val="lowerRoman"/>
      <w:lvlText w:val="(%2)"/>
      <w:lvlJc w:val="left"/>
      <w:pPr>
        <w:ind w:left="1560" w:hanging="84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19366D"/>
    <w:multiLevelType w:val="hybridMultilevel"/>
    <w:tmpl w:val="5B927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1336A"/>
    <w:multiLevelType w:val="hybridMultilevel"/>
    <w:tmpl w:val="53FC7CA8"/>
    <w:lvl w:ilvl="0" w:tplc="9304A61C">
      <w:start w:val="1"/>
      <w:numFmt w:val="lowerLetter"/>
      <w:lvlText w:val="%1)"/>
      <w:lvlJc w:val="left"/>
      <w:pPr>
        <w:tabs>
          <w:tab w:val="num" w:pos="720"/>
        </w:tabs>
        <w:ind w:left="720" w:hanging="360"/>
      </w:pPr>
      <w:rPr>
        <w:rFonts w:ascii="Book Antiqua" w:hAnsi="Book Antiqua"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CF7AB2"/>
    <w:multiLevelType w:val="hybridMultilevel"/>
    <w:tmpl w:val="4D2CF01E"/>
    <w:lvl w:ilvl="0" w:tplc="630089E0">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43C24"/>
    <w:multiLevelType w:val="multilevel"/>
    <w:tmpl w:val="C0980830"/>
    <w:lvl w:ilvl="0">
      <w:start w:val="1"/>
      <w:numFmt w:val="decimal"/>
      <w:lvlText w:val="%1"/>
      <w:lvlJc w:val="left"/>
      <w:pPr>
        <w:tabs>
          <w:tab w:val="num" w:pos="567"/>
        </w:tabs>
        <w:ind w:left="567" w:hanging="567"/>
      </w:pPr>
      <w:rPr>
        <w:rFonts w:ascii="Book Antiqua" w:hAnsi="Book Antiqua"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67"/>
        </w:tabs>
        <w:ind w:left="567" w:hanging="567"/>
      </w:pPr>
      <w:rPr>
        <w:rFonts w:ascii="Book Antiqua" w:hAnsi="Book Antiqua"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724"/>
        </w:tabs>
        <w:ind w:left="2724" w:hanging="870"/>
      </w:pPr>
      <w:rPr>
        <w:rFonts w:hint="default"/>
      </w:rPr>
    </w:lvl>
    <w:lvl w:ilvl="3">
      <w:start w:val="1"/>
      <w:numFmt w:val="decimal"/>
      <w:lvlText w:val="%1.%2.%3.%4"/>
      <w:lvlJc w:val="left"/>
      <w:pPr>
        <w:tabs>
          <w:tab w:val="num" w:pos="3501"/>
        </w:tabs>
        <w:ind w:left="3501" w:hanging="1080"/>
      </w:pPr>
      <w:rPr>
        <w:rFonts w:hint="default"/>
      </w:rPr>
    </w:lvl>
    <w:lvl w:ilvl="4">
      <w:start w:val="1"/>
      <w:numFmt w:val="decimal"/>
      <w:lvlText w:val="%1.%2.%3.%4.%5"/>
      <w:lvlJc w:val="left"/>
      <w:pPr>
        <w:tabs>
          <w:tab w:val="num" w:pos="4068"/>
        </w:tabs>
        <w:ind w:left="4068"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489"/>
        </w:tabs>
        <w:ind w:left="6489" w:hanging="1800"/>
      </w:pPr>
      <w:rPr>
        <w:rFonts w:hint="default"/>
      </w:rPr>
    </w:lvl>
    <w:lvl w:ilvl="8">
      <w:start w:val="1"/>
      <w:numFmt w:val="decimal"/>
      <w:lvlText w:val="%1.%2.%3.%4.%5.%6.%7.%8.%9"/>
      <w:lvlJc w:val="left"/>
      <w:pPr>
        <w:tabs>
          <w:tab w:val="num" w:pos="7056"/>
        </w:tabs>
        <w:ind w:left="7056" w:hanging="1800"/>
      </w:pPr>
      <w:rPr>
        <w:rFonts w:hint="default"/>
      </w:rPr>
    </w:lvl>
  </w:abstractNum>
  <w:abstractNum w:abstractNumId="13" w15:restartNumberingAfterBreak="0">
    <w:nsid w:val="625357D4"/>
    <w:multiLevelType w:val="hybridMultilevel"/>
    <w:tmpl w:val="1018C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0B5A9F"/>
    <w:multiLevelType w:val="hybridMultilevel"/>
    <w:tmpl w:val="8EE8EC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CF2EE2"/>
    <w:multiLevelType w:val="hybridMultilevel"/>
    <w:tmpl w:val="E1840DE0"/>
    <w:lvl w:ilvl="0" w:tplc="0CC0905E">
      <w:start w:val="1"/>
      <w:numFmt w:val="lowerRoman"/>
      <w:lvlText w:val="(%1)"/>
      <w:lvlJc w:val="left"/>
      <w:pPr>
        <w:ind w:left="1440" w:hanging="84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6" w15:restartNumberingAfterBreak="0">
    <w:nsid w:val="6C164434"/>
    <w:multiLevelType w:val="hybridMultilevel"/>
    <w:tmpl w:val="8B0A7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220664"/>
    <w:multiLevelType w:val="hybridMultilevel"/>
    <w:tmpl w:val="C902FFAC"/>
    <w:lvl w:ilvl="0" w:tplc="9304A61C">
      <w:start w:val="1"/>
      <w:numFmt w:val="lowerLetter"/>
      <w:lvlText w:val="%1)"/>
      <w:lvlJc w:val="left"/>
      <w:pPr>
        <w:ind w:left="720" w:hanging="360"/>
      </w:pPr>
      <w:rPr>
        <w:rFonts w:ascii="Book Antiqua" w:hAnsi="Book Antiqua"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616713"/>
    <w:multiLevelType w:val="hybridMultilevel"/>
    <w:tmpl w:val="30EC2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06679A"/>
    <w:multiLevelType w:val="hybridMultilevel"/>
    <w:tmpl w:val="767E24F4"/>
    <w:lvl w:ilvl="0" w:tplc="9304A61C">
      <w:start w:val="1"/>
      <w:numFmt w:val="lowerLetter"/>
      <w:lvlText w:val="%1)"/>
      <w:lvlJc w:val="left"/>
      <w:pPr>
        <w:ind w:left="360" w:hanging="360"/>
      </w:pPr>
      <w:rPr>
        <w:rFonts w:ascii="Book Antiqua" w:hAnsi="Book Antiqua" w:hint="default"/>
        <w:b w:val="0"/>
        <w:i w:val="0"/>
      </w:rPr>
    </w:lvl>
    <w:lvl w:ilvl="1" w:tplc="9304A61C">
      <w:start w:val="1"/>
      <w:numFmt w:val="lowerLetter"/>
      <w:lvlText w:val="%2)"/>
      <w:lvlJc w:val="left"/>
      <w:pPr>
        <w:ind w:left="1080" w:hanging="360"/>
      </w:pPr>
      <w:rPr>
        <w:rFonts w:ascii="Book Antiqua" w:hAnsi="Book Antiqua" w:hint="default"/>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4CB5BDF"/>
    <w:multiLevelType w:val="hybridMultilevel"/>
    <w:tmpl w:val="9934CA8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5"/>
  </w:num>
  <w:num w:numId="3">
    <w:abstractNumId w:val="7"/>
  </w:num>
  <w:num w:numId="4">
    <w:abstractNumId w:val="2"/>
  </w:num>
  <w:num w:numId="5">
    <w:abstractNumId w:val="3"/>
  </w:num>
  <w:num w:numId="6">
    <w:abstractNumId w:val="18"/>
  </w:num>
  <w:num w:numId="7">
    <w:abstractNumId w:val="13"/>
  </w:num>
  <w:num w:numId="8">
    <w:abstractNumId w:val="5"/>
  </w:num>
  <w:num w:numId="9">
    <w:abstractNumId w:val="12"/>
  </w:num>
  <w:num w:numId="10">
    <w:abstractNumId w:val="4"/>
  </w:num>
  <w:num w:numId="11">
    <w:abstractNumId w:val="0"/>
  </w:num>
  <w:num w:numId="12">
    <w:abstractNumId w:val="15"/>
  </w:num>
  <w:num w:numId="13">
    <w:abstractNumId w:val="9"/>
  </w:num>
  <w:num w:numId="14">
    <w:abstractNumId w:val="6"/>
  </w:num>
  <w:num w:numId="15">
    <w:abstractNumId w:val="17"/>
  </w:num>
  <w:num w:numId="16">
    <w:abstractNumId w:val="10"/>
  </w:num>
  <w:num w:numId="17">
    <w:abstractNumId w:val="8"/>
  </w:num>
  <w:num w:numId="18">
    <w:abstractNumId w:val="1"/>
  </w:num>
  <w:num w:numId="19">
    <w:abstractNumId w:val="19"/>
  </w:num>
  <w:num w:numId="20">
    <w:abstractNumId w:val="16"/>
  </w:num>
  <w:num w:numId="21">
    <w:abstractNumId w:val="20"/>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E3"/>
    <w:rsid w:val="00004428"/>
    <w:rsid w:val="00007829"/>
    <w:rsid w:val="00017411"/>
    <w:rsid w:val="00020062"/>
    <w:rsid w:val="00031931"/>
    <w:rsid w:val="00050137"/>
    <w:rsid w:val="0007028E"/>
    <w:rsid w:val="00075A97"/>
    <w:rsid w:val="0007748A"/>
    <w:rsid w:val="00087B82"/>
    <w:rsid w:val="000931B9"/>
    <w:rsid w:val="000963E4"/>
    <w:rsid w:val="000B1F06"/>
    <w:rsid w:val="000D4DB6"/>
    <w:rsid w:val="000F7F9D"/>
    <w:rsid w:val="0010720F"/>
    <w:rsid w:val="00112CA6"/>
    <w:rsid w:val="00120BF8"/>
    <w:rsid w:val="00125258"/>
    <w:rsid w:val="00125818"/>
    <w:rsid w:val="00142139"/>
    <w:rsid w:val="00157000"/>
    <w:rsid w:val="00163555"/>
    <w:rsid w:val="00167BB2"/>
    <w:rsid w:val="001A1E93"/>
    <w:rsid w:val="001B0D40"/>
    <w:rsid w:val="001B585F"/>
    <w:rsid w:val="001D436A"/>
    <w:rsid w:val="001E710D"/>
    <w:rsid w:val="0020060F"/>
    <w:rsid w:val="0020241E"/>
    <w:rsid w:val="00203326"/>
    <w:rsid w:val="00217B71"/>
    <w:rsid w:val="002209CF"/>
    <w:rsid w:val="00222E55"/>
    <w:rsid w:val="00230746"/>
    <w:rsid w:val="00240534"/>
    <w:rsid w:val="00244503"/>
    <w:rsid w:val="00263145"/>
    <w:rsid w:val="00284947"/>
    <w:rsid w:val="00285163"/>
    <w:rsid w:val="00293C30"/>
    <w:rsid w:val="002B2D0E"/>
    <w:rsid w:val="002C2B22"/>
    <w:rsid w:val="002C7D55"/>
    <w:rsid w:val="002D0E02"/>
    <w:rsid w:val="003061B9"/>
    <w:rsid w:val="003344FF"/>
    <w:rsid w:val="0034278D"/>
    <w:rsid w:val="00365E52"/>
    <w:rsid w:val="00372DB3"/>
    <w:rsid w:val="00385C0A"/>
    <w:rsid w:val="003957F6"/>
    <w:rsid w:val="003B2980"/>
    <w:rsid w:val="003D421D"/>
    <w:rsid w:val="003D53D6"/>
    <w:rsid w:val="003D7EE3"/>
    <w:rsid w:val="003F0663"/>
    <w:rsid w:val="00417461"/>
    <w:rsid w:val="00421C59"/>
    <w:rsid w:val="00432360"/>
    <w:rsid w:val="00434264"/>
    <w:rsid w:val="00482148"/>
    <w:rsid w:val="00491865"/>
    <w:rsid w:val="004A02A8"/>
    <w:rsid w:val="004A03BF"/>
    <w:rsid w:val="004A1165"/>
    <w:rsid w:val="004D7712"/>
    <w:rsid w:val="004E5BB6"/>
    <w:rsid w:val="004F0F67"/>
    <w:rsid w:val="004F6D88"/>
    <w:rsid w:val="00511445"/>
    <w:rsid w:val="00522892"/>
    <w:rsid w:val="005235C7"/>
    <w:rsid w:val="00540F38"/>
    <w:rsid w:val="00542043"/>
    <w:rsid w:val="00542E00"/>
    <w:rsid w:val="00546E88"/>
    <w:rsid w:val="00551193"/>
    <w:rsid w:val="00553DFE"/>
    <w:rsid w:val="005632FE"/>
    <w:rsid w:val="00564B44"/>
    <w:rsid w:val="00580DC1"/>
    <w:rsid w:val="0058758A"/>
    <w:rsid w:val="005944DA"/>
    <w:rsid w:val="0059701D"/>
    <w:rsid w:val="005A3DA0"/>
    <w:rsid w:val="005A54A8"/>
    <w:rsid w:val="005A7F77"/>
    <w:rsid w:val="005C1BE4"/>
    <w:rsid w:val="005E12E8"/>
    <w:rsid w:val="00602139"/>
    <w:rsid w:val="00607072"/>
    <w:rsid w:val="006149D2"/>
    <w:rsid w:val="00627FCB"/>
    <w:rsid w:val="00633AFB"/>
    <w:rsid w:val="006402B8"/>
    <w:rsid w:val="006451AC"/>
    <w:rsid w:val="0066026C"/>
    <w:rsid w:val="00661CD5"/>
    <w:rsid w:val="00674F03"/>
    <w:rsid w:val="0067541C"/>
    <w:rsid w:val="00681A19"/>
    <w:rsid w:val="006B069B"/>
    <w:rsid w:val="006B6FB6"/>
    <w:rsid w:val="006C1D13"/>
    <w:rsid w:val="006C70DB"/>
    <w:rsid w:val="006E585E"/>
    <w:rsid w:val="00722897"/>
    <w:rsid w:val="007323AA"/>
    <w:rsid w:val="00732767"/>
    <w:rsid w:val="0073279A"/>
    <w:rsid w:val="00735808"/>
    <w:rsid w:val="00742985"/>
    <w:rsid w:val="007507B0"/>
    <w:rsid w:val="00750C3D"/>
    <w:rsid w:val="00751184"/>
    <w:rsid w:val="00751B3C"/>
    <w:rsid w:val="0076763D"/>
    <w:rsid w:val="00771495"/>
    <w:rsid w:val="00791F3C"/>
    <w:rsid w:val="007C3620"/>
    <w:rsid w:val="007D1BD2"/>
    <w:rsid w:val="007D48DA"/>
    <w:rsid w:val="007F6DBF"/>
    <w:rsid w:val="00802BE1"/>
    <w:rsid w:val="00807B3E"/>
    <w:rsid w:val="00813E87"/>
    <w:rsid w:val="00816D79"/>
    <w:rsid w:val="00817447"/>
    <w:rsid w:val="0083548C"/>
    <w:rsid w:val="0084379D"/>
    <w:rsid w:val="00847998"/>
    <w:rsid w:val="00885EB6"/>
    <w:rsid w:val="008A71A8"/>
    <w:rsid w:val="008B67F6"/>
    <w:rsid w:val="008E0D8E"/>
    <w:rsid w:val="00914416"/>
    <w:rsid w:val="009366DC"/>
    <w:rsid w:val="00946192"/>
    <w:rsid w:val="009522FC"/>
    <w:rsid w:val="009627EF"/>
    <w:rsid w:val="009702E2"/>
    <w:rsid w:val="00986A4C"/>
    <w:rsid w:val="009901C1"/>
    <w:rsid w:val="009910E5"/>
    <w:rsid w:val="009A77BB"/>
    <w:rsid w:val="009A7C31"/>
    <w:rsid w:val="009C6765"/>
    <w:rsid w:val="009E6FBA"/>
    <w:rsid w:val="00A014C9"/>
    <w:rsid w:val="00A21347"/>
    <w:rsid w:val="00A24941"/>
    <w:rsid w:val="00A40D42"/>
    <w:rsid w:val="00A4107E"/>
    <w:rsid w:val="00A53FAD"/>
    <w:rsid w:val="00A834FA"/>
    <w:rsid w:val="00A85687"/>
    <w:rsid w:val="00A95E4E"/>
    <w:rsid w:val="00AA4AB8"/>
    <w:rsid w:val="00AA4D9F"/>
    <w:rsid w:val="00AE06B1"/>
    <w:rsid w:val="00B034B8"/>
    <w:rsid w:val="00B055AE"/>
    <w:rsid w:val="00B1300E"/>
    <w:rsid w:val="00B1694F"/>
    <w:rsid w:val="00B1701D"/>
    <w:rsid w:val="00B4235D"/>
    <w:rsid w:val="00B50624"/>
    <w:rsid w:val="00B67383"/>
    <w:rsid w:val="00BB5B43"/>
    <w:rsid w:val="00BE5108"/>
    <w:rsid w:val="00C166C3"/>
    <w:rsid w:val="00C22380"/>
    <w:rsid w:val="00C24D4A"/>
    <w:rsid w:val="00C42344"/>
    <w:rsid w:val="00CC6B81"/>
    <w:rsid w:val="00CD02DF"/>
    <w:rsid w:val="00CD1F7C"/>
    <w:rsid w:val="00CD5A47"/>
    <w:rsid w:val="00CE0128"/>
    <w:rsid w:val="00D00BEB"/>
    <w:rsid w:val="00D05F3D"/>
    <w:rsid w:val="00D231FA"/>
    <w:rsid w:val="00D2354E"/>
    <w:rsid w:val="00D375D3"/>
    <w:rsid w:val="00D37832"/>
    <w:rsid w:val="00D405A3"/>
    <w:rsid w:val="00D43F59"/>
    <w:rsid w:val="00D50432"/>
    <w:rsid w:val="00D55067"/>
    <w:rsid w:val="00D64A10"/>
    <w:rsid w:val="00D64B3D"/>
    <w:rsid w:val="00D72D06"/>
    <w:rsid w:val="00D758EA"/>
    <w:rsid w:val="00D87A5C"/>
    <w:rsid w:val="00D92F49"/>
    <w:rsid w:val="00DA6737"/>
    <w:rsid w:val="00DA6826"/>
    <w:rsid w:val="00DB3FE7"/>
    <w:rsid w:val="00DD4A5F"/>
    <w:rsid w:val="00DE30DD"/>
    <w:rsid w:val="00DF2C8D"/>
    <w:rsid w:val="00E22885"/>
    <w:rsid w:val="00E36A62"/>
    <w:rsid w:val="00E4652F"/>
    <w:rsid w:val="00E55496"/>
    <w:rsid w:val="00E708C8"/>
    <w:rsid w:val="00E7225D"/>
    <w:rsid w:val="00E81CC7"/>
    <w:rsid w:val="00E83584"/>
    <w:rsid w:val="00EA7B30"/>
    <w:rsid w:val="00ED5D13"/>
    <w:rsid w:val="00EE22BE"/>
    <w:rsid w:val="00F01191"/>
    <w:rsid w:val="00F2492C"/>
    <w:rsid w:val="00F36375"/>
    <w:rsid w:val="00F41BD8"/>
    <w:rsid w:val="00F46E6C"/>
    <w:rsid w:val="00FA18DF"/>
    <w:rsid w:val="00FC6EFA"/>
    <w:rsid w:val="00FC722F"/>
    <w:rsid w:val="00FD4BBB"/>
    <w:rsid w:val="00FF7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1F2AE1F"/>
  <w15:chartTrackingRefBased/>
  <w15:docId w15:val="{56FB134B-7573-4E35-97DC-8B54D17D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712"/>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Cs w:val="20"/>
    </w:rPr>
  </w:style>
  <w:style w:type="paragraph" w:styleId="Heading6">
    <w:name w:val="heading 6"/>
    <w:basedOn w:val="Normal"/>
    <w:next w:val="Normal"/>
    <w:qFormat/>
    <w:pPr>
      <w:keepNext/>
      <w:outlineLvl w:val="5"/>
    </w:pPr>
    <w:rPr>
      <w:b/>
      <w:bCs/>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ing2">
    <w:name w:val="Procedure Heading 2"/>
    <w:basedOn w:val="ProcedureHeading1"/>
    <w:rsid w:val="00D758EA"/>
    <w:pPr>
      <w:numPr>
        <w:ilvl w:val="1"/>
        <w:numId w:val="2"/>
      </w:numPr>
      <w:spacing w:before="120"/>
    </w:pPr>
  </w:style>
  <w:style w:type="paragraph" w:customStyle="1" w:styleId="ProcedureHeading1">
    <w:name w:val="Procedure Heading 1"/>
    <w:basedOn w:val="Normal"/>
    <w:rsid w:val="00D758EA"/>
    <w:rPr>
      <w:rFonts w:ascii="Book Antiqua" w:hAnsi="Book Antiqua"/>
      <w:b/>
      <w:szCs w:val="20"/>
      <w:lang w:val="en-US"/>
    </w:rPr>
  </w:style>
  <w:style w:type="paragraph" w:customStyle="1" w:styleId="ProcedureNormal">
    <w:name w:val="ProcedureNormal"/>
    <w:basedOn w:val="ProcedureHeading1"/>
    <w:rsid w:val="00D758EA"/>
    <w:pPr>
      <w:spacing w:after="120"/>
    </w:pPr>
    <w:rPr>
      <w:b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StyleProcedureNormalAfter6pt">
    <w:name w:val="Style ProcedureNormal + After:  6 pt"/>
    <w:basedOn w:val="ProcedureNormal"/>
    <w:rsid w:val="00087B82"/>
  </w:style>
  <w:style w:type="character" w:styleId="CommentReference">
    <w:name w:val="annotation reference"/>
    <w:semiHidden/>
    <w:rsid w:val="00DA6737"/>
    <w:rPr>
      <w:sz w:val="16"/>
      <w:szCs w:val="16"/>
    </w:rPr>
  </w:style>
  <w:style w:type="paragraph" w:styleId="CommentText">
    <w:name w:val="annotation text"/>
    <w:basedOn w:val="Normal"/>
    <w:semiHidden/>
    <w:rsid w:val="00DA6737"/>
    <w:rPr>
      <w:sz w:val="20"/>
      <w:szCs w:val="20"/>
    </w:rPr>
  </w:style>
  <w:style w:type="paragraph" w:styleId="CommentSubject">
    <w:name w:val="annotation subject"/>
    <w:basedOn w:val="CommentText"/>
    <w:next w:val="CommentText"/>
    <w:semiHidden/>
    <w:rsid w:val="00DA6737"/>
    <w:rPr>
      <w:b/>
      <w:bCs/>
    </w:rPr>
  </w:style>
  <w:style w:type="paragraph" w:styleId="BalloonText">
    <w:name w:val="Balloon Text"/>
    <w:basedOn w:val="Normal"/>
    <w:semiHidden/>
    <w:rsid w:val="00DA6737"/>
    <w:rPr>
      <w:rFonts w:ascii="Tahoma" w:hAnsi="Tahoma" w:cs="Tahoma"/>
      <w:sz w:val="16"/>
      <w:szCs w:val="16"/>
    </w:rPr>
  </w:style>
  <w:style w:type="paragraph" w:customStyle="1" w:styleId="StyleProcedureHeading1JustifiedBefore12pt">
    <w:name w:val="Style Procedure Heading 1 + Justified Before:  12 pt"/>
    <w:basedOn w:val="ProcedureHeading1"/>
    <w:rsid w:val="00D758EA"/>
    <w:pPr>
      <w:numPr>
        <w:numId w:val="2"/>
      </w:numPr>
      <w:spacing w:before="240"/>
      <w:jc w:val="both"/>
    </w:pPr>
    <w:rPr>
      <w:bCs/>
    </w:rPr>
  </w:style>
  <w:style w:type="paragraph" w:customStyle="1" w:styleId="StyleProcedureNormalBefore0ptAfter6pt">
    <w:name w:val="Style ProcedureNormal + Before:  0 pt After:  6 pt"/>
    <w:basedOn w:val="ProcedureNormal"/>
    <w:rsid w:val="00D758EA"/>
  </w:style>
  <w:style w:type="character" w:styleId="FollowedHyperlink">
    <w:name w:val="FollowedHyperlink"/>
    <w:rsid w:val="00540F3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9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im://cms/3102?vie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rim://cms/3102?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el://CMS%2f2690?db=GW&amp;vie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A38B-7880-43B9-840F-725B862B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Location:</vt:lpstr>
    </vt:vector>
  </TitlesOfParts>
  <Company>GWMWater</Company>
  <LinksUpToDate>false</LinksUpToDate>
  <CharactersWithSpaces>6906</CharactersWithSpaces>
  <SharedDoc>false</SharedDoc>
  <HLinks>
    <vt:vector size="24" baseType="variant">
      <vt:variant>
        <vt:i4>131162</vt:i4>
      </vt:variant>
      <vt:variant>
        <vt:i4>9</vt:i4>
      </vt:variant>
      <vt:variant>
        <vt:i4>0</vt:i4>
      </vt:variant>
      <vt:variant>
        <vt:i4>5</vt:i4>
      </vt:variant>
      <vt:variant>
        <vt:lpwstr>trim://cms/3102?view</vt:lpwstr>
      </vt:variant>
      <vt:variant>
        <vt:lpwstr/>
      </vt:variant>
      <vt:variant>
        <vt:i4>7864365</vt:i4>
      </vt:variant>
      <vt:variant>
        <vt:i4>6</vt:i4>
      </vt:variant>
      <vt:variant>
        <vt:i4>0</vt:i4>
      </vt:variant>
      <vt:variant>
        <vt:i4>5</vt:i4>
      </vt:variant>
      <vt:variant>
        <vt:lpwstr>el://CMS%2f2690/?db=GW&amp;view</vt:lpwstr>
      </vt:variant>
      <vt:variant>
        <vt:lpwstr/>
      </vt:variant>
      <vt:variant>
        <vt:i4>131162</vt:i4>
      </vt:variant>
      <vt:variant>
        <vt:i4>0</vt:i4>
      </vt:variant>
      <vt:variant>
        <vt:i4>0</vt:i4>
      </vt:variant>
      <vt:variant>
        <vt:i4>5</vt:i4>
      </vt:variant>
      <vt:variant>
        <vt:lpwstr>trim://cms/3102?view</vt:lpwstr>
      </vt:variant>
      <vt:variant>
        <vt:lpwstr/>
      </vt:variant>
      <vt:variant>
        <vt:i4>3735641</vt:i4>
      </vt:variant>
      <vt:variant>
        <vt:i4>9156</vt:i4>
      </vt:variant>
      <vt:variant>
        <vt:i4>1027</vt:i4>
      </vt:variant>
      <vt:variant>
        <vt:i4>1</vt:i4>
      </vt:variant>
      <vt:variant>
        <vt:lpwstr>cid:image001.png@01D8921B.C8283480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subject/>
  <dc:creator>Stephen Jewell</dc:creator>
  <cp:keywords/>
  <cp:lastModifiedBy>Robert Ticchi</cp:lastModifiedBy>
  <cp:revision>2</cp:revision>
  <cp:lastPrinted>2010-01-18T00:25:00Z</cp:lastPrinted>
  <dcterms:created xsi:type="dcterms:W3CDTF">2023-01-10T00:42:00Z</dcterms:created>
  <dcterms:modified xsi:type="dcterms:W3CDTF">2023-01-10T00:42:00Z</dcterms:modified>
</cp:coreProperties>
</file>