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32" w:rsidRDefault="00230932">
      <w:pPr>
        <w:pStyle w:val="ProcedureNormal"/>
        <w:rPr>
          <w:sz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093"/>
        <w:gridCol w:w="7938"/>
      </w:tblGrid>
      <w:tr w:rsidR="00230932">
        <w:trPr>
          <w:cantSplit/>
          <w:trHeight w:val="31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932" w:rsidRDefault="00230932">
            <w:pPr>
              <w:pStyle w:val="ProcedureNormal"/>
              <w:rPr>
                <w:sz w:val="20"/>
              </w:rPr>
            </w:pPr>
            <w:r>
              <w:rPr>
                <w:sz w:val="20"/>
              </w:rPr>
              <w:t xml:space="preserve">Parent Policy(s):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932" w:rsidRPr="00A61C16" w:rsidRDefault="00230932">
            <w:pPr>
              <w:pStyle w:val="ProcedureNormal"/>
              <w:rPr>
                <w:color w:val="3366FF"/>
                <w:sz w:val="20"/>
                <w:u w:val="single"/>
              </w:rPr>
            </w:pPr>
            <w:r w:rsidRPr="00A61C16">
              <w:rPr>
                <w:color w:val="3366FF"/>
                <w:sz w:val="20"/>
                <w:u w:val="single"/>
              </w:rPr>
              <w:t>Policy(s) for which this document relates</w:t>
            </w:r>
            <w:r w:rsidR="00A61C16">
              <w:rPr>
                <w:color w:val="3366FF"/>
                <w:sz w:val="20"/>
                <w:u w:val="single"/>
              </w:rPr>
              <w:t xml:space="preserve"> (hyperlink to policy)</w:t>
            </w:r>
          </w:p>
        </w:tc>
      </w:tr>
    </w:tbl>
    <w:p w:rsidR="00230932" w:rsidRDefault="00230932">
      <w:pPr>
        <w:pStyle w:val="ProcedureNormal"/>
        <w:rPr>
          <w:sz w:val="22"/>
        </w:rPr>
      </w:pPr>
    </w:p>
    <w:p w:rsidR="00230932" w:rsidRDefault="00230932">
      <w:pPr>
        <w:pStyle w:val="ProcedureNormal"/>
        <w:rPr>
          <w:sz w:val="22"/>
        </w:rPr>
      </w:pPr>
    </w:p>
    <w:p w:rsidR="00230932" w:rsidRDefault="00230932">
      <w:pPr>
        <w:pStyle w:val="ProcedureHeading1"/>
      </w:pPr>
      <w:bookmarkStart w:id="0" w:name="_Toc110913591"/>
      <w:r>
        <w:t>PURPOSE</w:t>
      </w:r>
      <w:bookmarkEnd w:id="0"/>
    </w:p>
    <w:p w:rsidR="00230932" w:rsidRDefault="00230932">
      <w:pPr>
        <w:pStyle w:val="ProcedureNormal"/>
      </w:pPr>
    </w:p>
    <w:p w:rsidR="00230932" w:rsidRDefault="00DE476F">
      <w:pPr>
        <w:pStyle w:val="ProcedureNormal"/>
        <w:rPr>
          <w:sz w:val="22"/>
        </w:rPr>
      </w:pPr>
      <w:r>
        <w:t xml:space="preserve">This procedure outlines the process when engaging a contractor to clear a blockage in a </w:t>
      </w:r>
      <w:r w:rsidR="00BC3206">
        <w:t>jump-up that is owned by GWMWater.  The jump-up is the connection point that provides wastewater services to private property residents.</w:t>
      </w:r>
    </w:p>
    <w:p w:rsidR="00230932" w:rsidRDefault="00230932">
      <w:pPr>
        <w:pStyle w:val="ProcedureNormal"/>
      </w:pPr>
    </w:p>
    <w:p w:rsidR="00230932" w:rsidRDefault="00230932">
      <w:pPr>
        <w:pStyle w:val="ProcedureHeading1"/>
      </w:pPr>
      <w:bookmarkStart w:id="1" w:name="_Toc110913592"/>
      <w:r>
        <w:t>SCOPE</w:t>
      </w:r>
      <w:bookmarkEnd w:id="1"/>
    </w:p>
    <w:p w:rsidR="00230932" w:rsidRDefault="00230932">
      <w:pPr>
        <w:pStyle w:val="ProcedureNormal"/>
      </w:pPr>
    </w:p>
    <w:p w:rsidR="00230932" w:rsidRDefault="00DE476F">
      <w:pPr>
        <w:pStyle w:val="ProcedureNormal"/>
        <w:rPr>
          <w:sz w:val="22"/>
        </w:rPr>
      </w:pPr>
      <w:r>
        <w:t xml:space="preserve">This procedure applies when contractors are engaged to clear blockages in jump ups </w:t>
      </w:r>
      <w:r w:rsidR="00BC3206">
        <w:t>that connect to</w:t>
      </w:r>
      <w:r>
        <w:t xml:space="preserve"> </w:t>
      </w:r>
      <w:r w:rsidR="00BC3206">
        <w:t xml:space="preserve">private property wastewater lines. </w:t>
      </w:r>
    </w:p>
    <w:p w:rsidR="00230932" w:rsidRDefault="00230932">
      <w:pPr>
        <w:pStyle w:val="ProcedureNormal"/>
      </w:pPr>
    </w:p>
    <w:p w:rsidR="006668F1" w:rsidRDefault="006668F1">
      <w:pPr>
        <w:pStyle w:val="ProcedureHeading1"/>
      </w:pPr>
      <w:bookmarkStart w:id="2" w:name="_Toc110913596"/>
      <w:r>
        <w:t>RESPONSIBILITIES</w:t>
      </w:r>
    </w:p>
    <w:p w:rsidR="000F461C" w:rsidRDefault="000F461C" w:rsidP="002C45DD">
      <w:pPr>
        <w:pStyle w:val="ProcedureHeading1"/>
        <w:numPr>
          <w:ilvl w:val="0"/>
          <w:numId w:val="0"/>
        </w:numPr>
        <w:jc w:val="left"/>
      </w:pPr>
    </w:p>
    <w:p w:rsidR="00BC3206" w:rsidRDefault="00BC3206" w:rsidP="002C45DD">
      <w:pPr>
        <w:jc w:val="left"/>
      </w:pPr>
      <w:r>
        <w:t>I</w:t>
      </w:r>
      <w:r w:rsidRPr="003773F7">
        <w:t>n most cases, customers initially engage a plumbing contractor when they</w:t>
      </w:r>
      <w:r>
        <w:t xml:space="preserve"> </w:t>
      </w:r>
      <w:r w:rsidRPr="003773F7">
        <w:t>experience a problem in their drain. The Plumber then contacts GWMWater if they</w:t>
      </w:r>
      <w:r>
        <w:t xml:space="preserve"> </w:t>
      </w:r>
      <w:r w:rsidRPr="003773F7">
        <w:t>feel the blockage is in the jump-up/house connection branch or the main.</w:t>
      </w:r>
      <w:r>
        <w:t xml:space="preserve"> </w:t>
      </w:r>
      <w:r w:rsidRPr="003773F7">
        <w:t xml:space="preserve">Upon inspection </w:t>
      </w:r>
      <w:r w:rsidR="002C45DD">
        <w:t xml:space="preserve">by a GWMWater </w:t>
      </w:r>
      <w:r w:rsidR="00C546AE">
        <w:t>Water Services Operator (WSO)</w:t>
      </w:r>
      <w:r w:rsidR="002C45DD">
        <w:t xml:space="preserve">, </w:t>
      </w:r>
      <w:r w:rsidRPr="003773F7">
        <w:t xml:space="preserve">if found to be </w:t>
      </w:r>
      <w:r w:rsidR="002C45DD">
        <w:t xml:space="preserve">the </w:t>
      </w:r>
      <w:r w:rsidRPr="003773F7">
        <w:t>responsibility</w:t>
      </w:r>
      <w:r w:rsidR="002C45DD">
        <w:t xml:space="preserve"> of</w:t>
      </w:r>
      <w:r w:rsidRPr="003773F7">
        <w:t xml:space="preserve"> GWMWater</w:t>
      </w:r>
      <w:r w:rsidR="002C45DD">
        <w:t xml:space="preserve">, the </w:t>
      </w:r>
      <w:r w:rsidR="00C546AE">
        <w:t>WSO</w:t>
      </w:r>
      <w:r w:rsidRPr="003773F7">
        <w:t xml:space="preserve"> will </w:t>
      </w:r>
      <w:r>
        <w:t xml:space="preserve">arrange for the blockage to be cleared. </w:t>
      </w:r>
    </w:p>
    <w:p w:rsidR="006668F1" w:rsidRDefault="006668F1" w:rsidP="006668F1">
      <w:pPr>
        <w:pStyle w:val="ProcedureHeading1"/>
        <w:numPr>
          <w:ilvl w:val="0"/>
          <w:numId w:val="0"/>
        </w:numPr>
      </w:pPr>
    </w:p>
    <w:bookmarkEnd w:id="2"/>
    <w:p w:rsidR="00230932" w:rsidRDefault="007D6E8A">
      <w:pPr>
        <w:pStyle w:val="ProcedureHeading1"/>
      </w:pPr>
      <w:r>
        <w:t>METHOD</w:t>
      </w:r>
    </w:p>
    <w:p w:rsidR="00BC3206" w:rsidRPr="003773F7" w:rsidRDefault="00BC3206" w:rsidP="00BC3206"/>
    <w:p w:rsidR="00BC3206" w:rsidRDefault="002C45DD" w:rsidP="00BC3206">
      <w:r>
        <w:t>The following procedure is to be followed to ensure all GWMWater requirements are met.</w:t>
      </w:r>
      <w:r w:rsidR="00BC3206" w:rsidRPr="003773F7">
        <w:t xml:space="preserve"> </w:t>
      </w:r>
    </w:p>
    <w:p w:rsidR="00C65A07" w:rsidRPr="003773F7" w:rsidRDefault="00C65A07" w:rsidP="00BC3206"/>
    <w:p w:rsidR="008319DB" w:rsidRDefault="0081542B" w:rsidP="008319DB">
      <w:pPr>
        <w:pStyle w:val="ListParagraph"/>
        <w:numPr>
          <w:ilvl w:val="0"/>
          <w:numId w:val="2"/>
        </w:numPr>
        <w:ind w:left="567" w:hanging="567"/>
      </w:pPr>
      <w:r>
        <w:rPr>
          <w:shd w:val="clear" w:color="auto" w:fill="FFFF00"/>
        </w:rPr>
        <w:t>When a</w:t>
      </w:r>
      <w:r w:rsidR="007C2F6D" w:rsidRPr="008319DB">
        <w:rPr>
          <w:shd w:val="clear" w:color="auto" w:fill="FFFF00"/>
        </w:rPr>
        <w:t xml:space="preserve"> plumber has been engaged by </w:t>
      </w:r>
      <w:r>
        <w:rPr>
          <w:shd w:val="clear" w:color="auto" w:fill="FFFF00"/>
        </w:rPr>
        <w:t>a</w:t>
      </w:r>
      <w:r w:rsidR="007C2F6D" w:rsidRPr="008319DB">
        <w:rPr>
          <w:shd w:val="clear" w:color="auto" w:fill="FFFF00"/>
        </w:rPr>
        <w:t xml:space="preserve"> customer to investigate </w:t>
      </w:r>
      <w:r>
        <w:rPr>
          <w:shd w:val="clear" w:color="auto" w:fill="FFFF00"/>
        </w:rPr>
        <w:t>a sewer</w:t>
      </w:r>
      <w:r w:rsidR="007C2F6D" w:rsidRPr="008319DB">
        <w:rPr>
          <w:shd w:val="clear" w:color="auto" w:fill="FFFF00"/>
        </w:rPr>
        <w:t xml:space="preserve"> block</w:t>
      </w:r>
      <w:r>
        <w:rPr>
          <w:shd w:val="clear" w:color="auto" w:fill="FFFF00"/>
        </w:rPr>
        <w:t xml:space="preserve">age, the plumber must first establish </w:t>
      </w:r>
      <w:r w:rsidR="00CF0630">
        <w:rPr>
          <w:shd w:val="clear" w:color="auto" w:fill="FFFF00"/>
        </w:rPr>
        <w:t>where the blockage is and who holds responsibility of the asset</w:t>
      </w:r>
      <w:r w:rsidR="007C2F6D" w:rsidRPr="008319DB">
        <w:rPr>
          <w:shd w:val="clear" w:color="auto" w:fill="FFFF00"/>
        </w:rPr>
        <w:t xml:space="preserve">. </w:t>
      </w:r>
      <w:r w:rsidR="00557FB8">
        <w:rPr>
          <w:shd w:val="clear" w:color="auto" w:fill="FFFF00"/>
        </w:rPr>
        <w:t>To ascertain responsibility, the plumber must</w:t>
      </w:r>
      <w:r w:rsidR="007C2F6D" w:rsidRPr="008319DB">
        <w:rPr>
          <w:shd w:val="clear" w:color="auto" w:fill="FFFF00"/>
        </w:rPr>
        <w:t xml:space="preserve"> insert </w:t>
      </w:r>
      <w:r w:rsidR="008319DB">
        <w:rPr>
          <w:shd w:val="clear" w:color="auto" w:fill="FFFF00"/>
        </w:rPr>
        <w:t>their</w:t>
      </w:r>
      <w:r w:rsidR="007C2F6D" w:rsidRPr="008319DB">
        <w:rPr>
          <w:shd w:val="clear" w:color="auto" w:fill="FFFF00"/>
        </w:rPr>
        <w:t xml:space="preserve"> equipment in</w:t>
      </w:r>
      <w:r w:rsidR="00185C4A">
        <w:rPr>
          <w:shd w:val="clear" w:color="auto" w:fill="FFFF00"/>
        </w:rPr>
        <w:t>to</w:t>
      </w:r>
      <w:r w:rsidR="007C2F6D" w:rsidRPr="008319DB">
        <w:rPr>
          <w:shd w:val="clear" w:color="auto" w:fill="FFFF00"/>
        </w:rPr>
        <w:t xml:space="preserve"> the drain</w:t>
      </w:r>
      <w:r w:rsidR="00557FB8">
        <w:rPr>
          <w:shd w:val="clear" w:color="auto" w:fill="FFFF00"/>
        </w:rPr>
        <w:t xml:space="preserve"> to identify blockage location. A</w:t>
      </w:r>
      <w:r w:rsidR="007C2F6D" w:rsidRPr="008319DB">
        <w:rPr>
          <w:shd w:val="clear" w:color="auto" w:fill="FFFF00"/>
        </w:rPr>
        <w:t xml:space="preserve">t no stage </w:t>
      </w:r>
      <w:r w:rsidR="00557FB8">
        <w:rPr>
          <w:shd w:val="clear" w:color="auto" w:fill="FFFF00"/>
        </w:rPr>
        <w:t>is the Plumber</w:t>
      </w:r>
      <w:r w:rsidR="007C2F6D" w:rsidRPr="008319DB">
        <w:rPr>
          <w:shd w:val="clear" w:color="auto" w:fill="FFFF00"/>
        </w:rPr>
        <w:t xml:space="preserve"> to begin clearing</w:t>
      </w:r>
      <w:r w:rsidR="008319DB">
        <w:rPr>
          <w:shd w:val="clear" w:color="auto" w:fill="FFFF00"/>
        </w:rPr>
        <w:t xml:space="preserve"> the block.</w:t>
      </w:r>
      <w:r w:rsidR="0008421D">
        <w:rPr>
          <w:shd w:val="clear" w:color="auto" w:fill="FFFF00"/>
        </w:rPr>
        <w:br/>
      </w:r>
    </w:p>
    <w:p w:rsidR="008319DB" w:rsidRDefault="008319DB" w:rsidP="008319DB">
      <w:pPr>
        <w:pStyle w:val="ListParagraph"/>
        <w:numPr>
          <w:ilvl w:val="0"/>
          <w:numId w:val="2"/>
        </w:numPr>
        <w:ind w:left="567" w:hanging="567"/>
      </w:pPr>
      <w:r w:rsidRPr="003773F7">
        <w:t xml:space="preserve">Once a Plumber believes the customer's </w:t>
      </w:r>
      <w:r w:rsidR="00185C4A">
        <w:t>blockage</w:t>
      </w:r>
      <w:r w:rsidRPr="003773F7">
        <w:t xml:space="preserve"> may be the responsibility of</w:t>
      </w:r>
      <w:r>
        <w:t xml:space="preserve"> </w:t>
      </w:r>
      <w:r w:rsidRPr="003773F7">
        <w:t>GWMWater they are required to call the Contact Centre on 1300 659 961 during</w:t>
      </w:r>
      <w:r>
        <w:t xml:space="preserve"> </w:t>
      </w:r>
      <w:r w:rsidRPr="003773F7">
        <w:t>business hou</w:t>
      </w:r>
      <w:r>
        <w:t xml:space="preserve">rs and 1800 188 586 after hours. </w:t>
      </w:r>
    </w:p>
    <w:p w:rsidR="00876600" w:rsidRDefault="00876600" w:rsidP="00876600">
      <w:pPr>
        <w:pStyle w:val="ListParagraph"/>
        <w:ind w:left="567"/>
      </w:pPr>
    </w:p>
    <w:p w:rsidR="00BC3206" w:rsidRPr="003773F7" w:rsidRDefault="00BC3206" w:rsidP="0029410F">
      <w:pPr>
        <w:pStyle w:val="ListParagraph"/>
        <w:numPr>
          <w:ilvl w:val="0"/>
          <w:numId w:val="2"/>
        </w:numPr>
        <w:ind w:left="567" w:hanging="567"/>
      </w:pPr>
      <w:r w:rsidRPr="003773F7">
        <w:t>Contractors are not to contact GWMWater operational staff directly - staff will</w:t>
      </w:r>
    </w:p>
    <w:p w:rsidR="00BC3206" w:rsidRDefault="00BC3206" w:rsidP="002C45DD">
      <w:pPr>
        <w:pStyle w:val="ListParagraph"/>
        <w:ind w:left="567"/>
      </w:pPr>
      <w:proofErr w:type="gramStart"/>
      <w:r w:rsidRPr="003773F7">
        <w:t>not</w:t>
      </w:r>
      <w:proofErr w:type="gramEnd"/>
      <w:r w:rsidRPr="003773F7">
        <w:t xml:space="preserve"> attend the job until they receive a call from the Operational Centre (business</w:t>
      </w:r>
      <w:r>
        <w:t xml:space="preserve"> </w:t>
      </w:r>
      <w:r w:rsidRPr="003773F7">
        <w:t>hours) or</w:t>
      </w:r>
      <w:r w:rsidR="002C45DD">
        <w:t xml:space="preserve"> the after-hours contact centre.</w:t>
      </w:r>
      <w:r w:rsidR="008319DB">
        <w:t xml:space="preserve"> </w:t>
      </w:r>
    </w:p>
    <w:p w:rsidR="00876600" w:rsidRPr="003773F7" w:rsidRDefault="00876600" w:rsidP="00876600"/>
    <w:p w:rsidR="002C45DD" w:rsidRDefault="002C45DD" w:rsidP="0029410F">
      <w:pPr>
        <w:pStyle w:val="ListParagraph"/>
        <w:numPr>
          <w:ilvl w:val="0"/>
          <w:numId w:val="2"/>
        </w:numPr>
        <w:ind w:left="567" w:hanging="567"/>
      </w:pPr>
      <w:r>
        <w:t>T</w:t>
      </w:r>
      <w:r w:rsidR="00BC3206" w:rsidRPr="003773F7">
        <w:t xml:space="preserve">he Plumber is to remain on site until a GWMWater </w:t>
      </w:r>
      <w:r w:rsidR="00C546AE">
        <w:t xml:space="preserve">WSO </w:t>
      </w:r>
      <w:r w:rsidR="00BC3206" w:rsidRPr="003773F7">
        <w:t>attends or makes contact with them in order to confirm responsibility.</w:t>
      </w:r>
      <w:r w:rsidR="00BC3206">
        <w:t xml:space="preserve"> </w:t>
      </w:r>
      <w:r w:rsidR="008319DB" w:rsidRPr="008319DB">
        <w:rPr>
          <w:shd w:val="clear" w:color="auto" w:fill="FFFF00"/>
        </w:rPr>
        <w:t>Again</w:t>
      </w:r>
      <w:r w:rsidR="00185C4A">
        <w:rPr>
          <w:shd w:val="clear" w:color="auto" w:fill="FFFF00"/>
        </w:rPr>
        <w:t>,</w:t>
      </w:r>
      <w:r w:rsidR="008319DB" w:rsidRPr="008319DB">
        <w:rPr>
          <w:shd w:val="clear" w:color="auto" w:fill="FFFF00"/>
        </w:rPr>
        <w:t xml:space="preserve"> the plumber is not to clear the block</w:t>
      </w:r>
      <w:r w:rsidR="00185C4A">
        <w:rPr>
          <w:shd w:val="clear" w:color="auto" w:fill="FFFF00"/>
        </w:rPr>
        <w:t>age</w:t>
      </w:r>
      <w:r w:rsidR="008319DB" w:rsidRPr="008319DB">
        <w:rPr>
          <w:shd w:val="clear" w:color="auto" w:fill="FFFF00"/>
        </w:rPr>
        <w:t xml:space="preserve"> until a GWMWater </w:t>
      </w:r>
      <w:r w:rsidR="00585225">
        <w:rPr>
          <w:shd w:val="clear" w:color="auto" w:fill="FFFF00"/>
        </w:rPr>
        <w:t>WSO</w:t>
      </w:r>
      <w:r w:rsidR="008319DB" w:rsidRPr="008319DB">
        <w:rPr>
          <w:shd w:val="clear" w:color="auto" w:fill="FFFF00"/>
        </w:rPr>
        <w:t xml:space="preserve"> has arrived onsite or unless told otherwise.</w:t>
      </w:r>
    </w:p>
    <w:p w:rsidR="00876600" w:rsidRDefault="00876600" w:rsidP="00876600">
      <w:pPr>
        <w:pStyle w:val="ListParagraph"/>
        <w:ind w:left="567"/>
      </w:pPr>
    </w:p>
    <w:p w:rsidR="00876600" w:rsidRDefault="00876600" w:rsidP="0029410F">
      <w:pPr>
        <w:pStyle w:val="ListParagraph"/>
        <w:numPr>
          <w:ilvl w:val="0"/>
          <w:numId w:val="2"/>
        </w:numPr>
        <w:ind w:left="567" w:hanging="567"/>
      </w:pPr>
      <w:r w:rsidRPr="00876600">
        <w:t>If a Plumber leaves the site or in fact clears the block prior to GWMWater’s confirmation or authorisation, GWMWater may refuse to pay for the service.</w:t>
      </w:r>
    </w:p>
    <w:p w:rsidR="00876600" w:rsidRDefault="00876600" w:rsidP="00876600"/>
    <w:p w:rsidR="002C45DD" w:rsidRDefault="002C45DD" w:rsidP="0029410F">
      <w:pPr>
        <w:pStyle w:val="ListParagraph"/>
        <w:numPr>
          <w:ilvl w:val="0"/>
          <w:numId w:val="2"/>
        </w:numPr>
        <w:ind w:left="567" w:hanging="567"/>
      </w:pPr>
      <w:r>
        <w:t xml:space="preserve">A GWMWater </w:t>
      </w:r>
      <w:r w:rsidR="00C546AE">
        <w:t>WSO</w:t>
      </w:r>
      <w:r>
        <w:t xml:space="preserve"> will endeavour to attend the site as quickly as possible to confirm the diagnosis.</w:t>
      </w:r>
    </w:p>
    <w:p w:rsidR="00321EDC" w:rsidRDefault="00321EDC" w:rsidP="00321EDC">
      <w:pPr>
        <w:pStyle w:val="ListParagraph"/>
      </w:pPr>
    </w:p>
    <w:p w:rsidR="00321EDC" w:rsidRPr="00321EDC" w:rsidRDefault="00321EDC" w:rsidP="0029410F">
      <w:pPr>
        <w:pStyle w:val="ListParagraph"/>
        <w:numPr>
          <w:ilvl w:val="0"/>
          <w:numId w:val="2"/>
        </w:numPr>
        <w:ind w:left="567" w:hanging="567"/>
        <w:rPr>
          <w:highlight w:val="yellow"/>
        </w:rPr>
      </w:pPr>
      <w:r w:rsidRPr="00321EDC">
        <w:rPr>
          <w:highlight w:val="yellow"/>
        </w:rPr>
        <w:t>It may be a requirement for the GWMWater WSO to check the upstream and downst</w:t>
      </w:r>
      <w:r w:rsidR="005F36D2">
        <w:rPr>
          <w:highlight w:val="yellow"/>
        </w:rPr>
        <w:t>r</w:t>
      </w:r>
      <w:r w:rsidRPr="00321EDC">
        <w:rPr>
          <w:highlight w:val="yellow"/>
        </w:rPr>
        <w:t>eam manholes to confirm that the block</w:t>
      </w:r>
      <w:r w:rsidR="00185C4A">
        <w:rPr>
          <w:highlight w:val="yellow"/>
        </w:rPr>
        <w:t>age is not</w:t>
      </w:r>
      <w:r w:rsidRPr="00321EDC">
        <w:rPr>
          <w:highlight w:val="yellow"/>
        </w:rPr>
        <w:t xml:space="preserve"> in the sewer main.</w:t>
      </w:r>
    </w:p>
    <w:p w:rsidR="00876600" w:rsidRDefault="00876600" w:rsidP="00876600"/>
    <w:p w:rsidR="0008421D" w:rsidRPr="0008421D" w:rsidRDefault="002C45DD" w:rsidP="0008421D">
      <w:pPr>
        <w:pStyle w:val="ListParagraph"/>
        <w:numPr>
          <w:ilvl w:val="0"/>
          <w:numId w:val="2"/>
        </w:numPr>
        <w:ind w:left="567" w:hanging="567"/>
        <w:rPr>
          <w:highlight w:val="yellow"/>
        </w:rPr>
      </w:pPr>
      <w:r w:rsidRPr="00585225">
        <w:rPr>
          <w:highlight w:val="yellow"/>
        </w:rPr>
        <w:t xml:space="preserve">If the plumber is not prequalified then they </w:t>
      </w:r>
      <w:r w:rsidRPr="00585225">
        <w:rPr>
          <w:b/>
          <w:highlight w:val="yellow"/>
          <w:u w:val="single"/>
        </w:rPr>
        <w:t>cannot be engaged</w:t>
      </w:r>
      <w:r w:rsidR="00585225" w:rsidRPr="00585225">
        <w:rPr>
          <w:highlight w:val="yellow"/>
        </w:rPr>
        <w:t xml:space="preserve"> to clear the blockage and they are dismissed.</w:t>
      </w:r>
      <w:r w:rsidRPr="00585225">
        <w:rPr>
          <w:highlight w:val="yellow"/>
        </w:rPr>
        <w:t xml:space="preserve"> </w:t>
      </w:r>
      <w:r w:rsidR="00585225" w:rsidRPr="00585225">
        <w:rPr>
          <w:highlight w:val="yellow"/>
        </w:rPr>
        <w:t>GWMWater will pay the plumber a reasonable fee for their diagnostic services. A</w:t>
      </w:r>
      <w:r w:rsidRPr="00585225">
        <w:rPr>
          <w:highlight w:val="yellow"/>
        </w:rPr>
        <w:t xml:space="preserve"> prequalified contractor is to be engaged </w:t>
      </w:r>
      <w:r w:rsidR="00585225">
        <w:rPr>
          <w:highlight w:val="yellow"/>
        </w:rPr>
        <w:t xml:space="preserve">by the GWMWater WSO </w:t>
      </w:r>
      <w:r w:rsidRPr="00585225">
        <w:rPr>
          <w:highlight w:val="yellow"/>
        </w:rPr>
        <w:t>to perform the blockage clearance.</w:t>
      </w:r>
    </w:p>
    <w:p w:rsidR="0008421D" w:rsidRDefault="0008421D" w:rsidP="0008421D">
      <w:pPr>
        <w:pStyle w:val="ListParagraph"/>
      </w:pPr>
    </w:p>
    <w:p w:rsidR="0008421D" w:rsidRPr="0008421D" w:rsidRDefault="00185C4A" w:rsidP="0008421D">
      <w:pPr>
        <w:pStyle w:val="ListParagraph"/>
        <w:numPr>
          <w:ilvl w:val="0"/>
          <w:numId w:val="2"/>
        </w:numPr>
        <w:ind w:left="567" w:hanging="567"/>
        <w:rPr>
          <w:highlight w:val="yellow"/>
        </w:rPr>
      </w:pPr>
      <w:r>
        <w:rPr>
          <w:highlight w:val="yellow"/>
        </w:rPr>
        <w:t xml:space="preserve">All sub-contracting engagements must be authorised by GWMWater. </w:t>
      </w:r>
      <w:r w:rsidR="0008421D" w:rsidRPr="0008421D">
        <w:rPr>
          <w:highlight w:val="yellow"/>
        </w:rPr>
        <w:t xml:space="preserve">At no stage should </w:t>
      </w:r>
      <w:r w:rsidR="0008421D">
        <w:rPr>
          <w:highlight w:val="yellow"/>
        </w:rPr>
        <w:t>a</w:t>
      </w:r>
      <w:r w:rsidR="0008421D" w:rsidRPr="0008421D">
        <w:rPr>
          <w:highlight w:val="yellow"/>
        </w:rPr>
        <w:t xml:space="preserve"> plumber engage another plumber to complete the task</w:t>
      </w:r>
      <w:r w:rsidR="0008421D">
        <w:rPr>
          <w:highlight w:val="yellow"/>
        </w:rPr>
        <w:t xml:space="preserve"> on their behalf</w:t>
      </w:r>
      <w:r w:rsidR="00F87222">
        <w:rPr>
          <w:highlight w:val="yellow"/>
        </w:rPr>
        <w:t>. Only a GWMWater WSO can engage another plumber to complete the task</w:t>
      </w:r>
      <w:r w:rsidR="0008421D" w:rsidRPr="0008421D">
        <w:rPr>
          <w:highlight w:val="yellow"/>
        </w:rPr>
        <w:t>.</w:t>
      </w:r>
    </w:p>
    <w:p w:rsidR="000163E7" w:rsidRPr="000163E7" w:rsidRDefault="000163E7" w:rsidP="000163E7">
      <w:pPr>
        <w:pStyle w:val="ListParagraph"/>
        <w:rPr>
          <w:highlight w:val="yellow"/>
        </w:rPr>
      </w:pPr>
      <w:bookmarkStart w:id="3" w:name="_GoBack"/>
      <w:bookmarkEnd w:id="3"/>
    </w:p>
    <w:p w:rsidR="00416DEE" w:rsidRDefault="00585225" w:rsidP="00585225">
      <w:pPr>
        <w:pStyle w:val="ListParagraph"/>
        <w:numPr>
          <w:ilvl w:val="0"/>
          <w:numId w:val="2"/>
        </w:numPr>
        <w:ind w:left="567" w:hanging="567"/>
        <w:rPr>
          <w:highlight w:val="yellow"/>
        </w:rPr>
      </w:pPr>
      <w:r w:rsidRPr="00A50584">
        <w:t xml:space="preserve">If the </w:t>
      </w:r>
      <w:r w:rsidR="00416DEE" w:rsidRPr="00A50584">
        <w:t>contractor</w:t>
      </w:r>
      <w:r w:rsidRPr="00A50584">
        <w:t xml:space="preserve"> is prequalified with Pegasus, they can be authorised to clear the blockage on behalf of GWMWater.</w:t>
      </w:r>
      <w:r w:rsidRPr="00585225">
        <w:rPr>
          <w:highlight w:val="yellow"/>
        </w:rPr>
        <w:t xml:space="preserve"> </w:t>
      </w:r>
      <w:r w:rsidR="00CD512C" w:rsidRPr="00585225">
        <w:rPr>
          <w:highlight w:val="yellow"/>
        </w:rPr>
        <w:t xml:space="preserve">If the prequalified plumber has trouble clearing the block or has spent </w:t>
      </w:r>
      <w:r>
        <w:rPr>
          <w:highlight w:val="yellow"/>
        </w:rPr>
        <w:t>excessive time on site and can’t clear the block</w:t>
      </w:r>
      <w:r w:rsidR="00185C4A">
        <w:rPr>
          <w:highlight w:val="yellow"/>
        </w:rPr>
        <w:t>age,</w:t>
      </w:r>
      <w:r>
        <w:rPr>
          <w:highlight w:val="yellow"/>
        </w:rPr>
        <w:t xml:space="preserve"> the GWMWater WSO can ask for them to pack up and another prequalified plumber can be engaged to clear the block</w:t>
      </w:r>
      <w:r w:rsidR="00185C4A">
        <w:rPr>
          <w:highlight w:val="yellow"/>
        </w:rPr>
        <w:t>age</w:t>
      </w:r>
      <w:r>
        <w:rPr>
          <w:highlight w:val="yellow"/>
        </w:rPr>
        <w:t xml:space="preserve">. </w:t>
      </w:r>
      <w:r w:rsidR="00185C4A">
        <w:rPr>
          <w:highlight w:val="yellow"/>
        </w:rPr>
        <w:t>T</w:t>
      </w:r>
      <w:r w:rsidR="000163E7">
        <w:rPr>
          <w:highlight w:val="yellow"/>
        </w:rPr>
        <w:t>he plumber will be paid a reasonable fee for their time.</w:t>
      </w:r>
    </w:p>
    <w:p w:rsidR="00416DEE" w:rsidRPr="00416DEE" w:rsidRDefault="00416DEE" w:rsidP="00416DEE">
      <w:pPr>
        <w:pStyle w:val="ListParagraph"/>
        <w:rPr>
          <w:highlight w:val="yellow"/>
        </w:rPr>
      </w:pPr>
    </w:p>
    <w:p w:rsidR="00876600" w:rsidRDefault="00416DEE" w:rsidP="009757D9">
      <w:pPr>
        <w:pStyle w:val="ListParagraph"/>
        <w:numPr>
          <w:ilvl w:val="0"/>
          <w:numId w:val="2"/>
        </w:numPr>
        <w:ind w:left="567" w:hanging="567"/>
      </w:pPr>
      <w:r w:rsidRPr="00D27292">
        <w:rPr>
          <w:highlight w:val="yellow"/>
        </w:rPr>
        <w:t>In all situations</w:t>
      </w:r>
      <w:r w:rsidR="00594926">
        <w:rPr>
          <w:highlight w:val="yellow"/>
        </w:rPr>
        <w:t>,</w:t>
      </w:r>
      <w:r w:rsidRPr="00D27292">
        <w:rPr>
          <w:highlight w:val="yellow"/>
        </w:rPr>
        <w:t xml:space="preserve"> at no stage should the first plumber remain onsite </w:t>
      </w:r>
      <w:r w:rsidR="0008421D" w:rsidRPr="00D27292">
        <w:rPr>
          <w:highlight w:val="yellow"/>
        </w:rPr>
        <w:t xml:space="preserve">after being dismissed </w:t>
      </w:r>
      <w:r w:rsidR="00D27292" w:rsidRPr="00D27292">
        <w:rPr>
          <w:highlight w:val="yellow"/>
        </w:rPr>
        <w:t xml:space="preserve">to assist the second </w:t>
      </w:r>
      <w:r w:rsidR="00D27292" w:rsidRPr="0067629D">
        <w:rPr>
          <w:highlight w:val="yellow"/>
        </w:rPr>
        <w:t xml:space="preserve">plumber. </w:t>
      </w:r>
      <w:r w:rsidRPr="0067629D">
        <w:rPr>
          <w:highlight w:val="yellow"/>
        </w:rPr>
        <w:t xml:space="preserve"> </w:t>
      </w:r>
      <w:r w:rsidR="00594926" w:rsidRPr="0067629D">
        <w:rPr>
          <w:highlight w:val="yellow"/>
        </w:rPr>
        <w:t>GWMWater will only pay the cost of one plumbing contractor to perform the works. Sub-contracting arrangements must be approved b</w:t>
      </w:r>
      <w:r w:rsidR="0067629D">
        <w:rPr>
          <w:highlight w:val="yellow"/>
        </w:rPr>
        <w:t xml:space="preserve">y the Area or Duty Manager and will only be approved under special circumstances. </w:t>
      </w:r>
    </w:p>
    <w:p w:rsidR="00D27292" w:rsidRDefault="00D27292" w:rsidP="00D27292"/>
    <w:p w:rsidR="002C45DD" w:rsidRDefault="000163E7" w:rsidP="0029410F">
      <w:pPr>
        <w:pStyle w:val="ListParagraph"/>
        <w:numPr>
          <w:ilvl w:val="0"/>
          <w:numId w:val="2"/>
        </w:numPr>
        <w:ind w:left="567" w:hanging="567"/>
      </w:pPr>
      <w:r w:rsidRPr="00416DEE">
        <w:rPr>
          <w:highlight w:val="yellow"/>
        </w:rPr>
        <w:t xml:space="preserve">The GWMWater WSO is to instruct the contractor to take note of the blockage clearance time so that it can be captured in the </w:t>
      </w:r>
      <w:r w:rsidR="00D27292">
        <w:rPr>
          <w:highlight w:val="yellow"/>
        </w:rPr>
        <w:t>work order</w:t>
      </w:r>
      <w:r w:rsidRPr="00416DEE">
        <w:rPr>
          <w:highlight w:val="yellow"/>
        </w:rPr>
        <w:t xml:space="preserve"> system.</w:t>
      </w:r>
      <w:r>
        <w:t xml:space="preserve"> </w:t>
      </w:r>
      <w:r w:rsidR="002C45DD">
        <w:t xml:space="preserve"> </w:t>
      </w:r>
    </w:p>
    <w:p w:rsidR="00D648DD" w:rsidRDefault="00D648DD">
      <w:pPr>
        <w:pStyle w:val="ProcedureNormal"/>
      </w:pPr>
    </w:p>
    <w:p w:rsidR="00230932" w:rsidRDefault="00230932">
      <w:pPr>
        <w:pStyle w:val="ProcedureHeading1"/>
      </w:pPr>
      <w:r>
        <w:t>DOCUMENTATION</w:t>
      </w:r>
    </w:p>
    <w:p w:rsidR="001A6269" w:rsidRPr="001A6269" w:rsidRDefault="001A6269">
      <w:pPr>
        <w:pStyle w:val="ProcedureNormal"/>
      </w:pPr>
    </w:p>
    <w:p w:rsidR="002F2CA9" w:rsidRPr="002F2CA9" w:rsidRDefault="002F2CA9" w:rsidP="00637C66">
      <w:pPr>
        <w:pStyle w:val="ProcedureHeading2"/>
      </w:pPr>
      <w:r w:rsidRPr="002F2CA9">
        <w:t xml:space="preserve">References </w:t>
      </w:r>
    </w:p>
    <w:p w:rsidR="002F2CA9" w:rsidRDefault="00876600" w:rsidP="002F2CA9">
      <w:pPr>
        <w:pStyle w:val="ProcedureHeading2"/>
        <w:numPr>
          <w:ilvl w:val="0"/>
          <w:numId w:val="0"/>
        </w:numPr>
        <w:rPr>
          <w:b w:val="0"/>
        </w:rPr>
      </w:pPr>
      <w:r>
        <w:rPr>
          <w:b w:val="0"/>
        </w:rPr>
        <w:t>CMS/3286 Contractor Prequalification Policy</w:t>
      </w:r>
    </w:p>
    <w:p w:rsidR="00876600" w:rsidRDefault="00876600" w:rsidP="002F2CA9">
      <w:pPr>
        <w:pStyle w:val="ProcedureHeading2"/>
        <w:numPr>
          <w:ilvl w:val="0"/>
          <w:numId w:val="0"/>
        </w:numPr>
        <w:rPr>
          <w:b w:val="0"/>
        </w:rPr>
      </w:pPr>
      <w:r>
        <w:rPr>
          <w:b w:val="0"/>
        </w:rPr>
        <w:t>CMS/2464 Property Connection to Sewerage Services</w:t>
      </w:r>
    </w:p>
    <w:p w:rsidR="00230932" w:rsidRDefault="00230932">
      <w:pPr>
        <w:pStyle w:val="ProcedureNormal"/>
      </w:pPr>
    </w:p>
    <w:p w:rsidR="00230932" w:rsidRDefault="00230932">
      <w:pPr>
        <w:pStyle w:val="ProcedureHeading1"/>
      </w:pPr>
      <w:r>
        <w:t>DEFINITIONS</w:t>
      </w:r>
    </w:p>
    <w:p w:rsidR="000F461C" w:rsidRDefault="000F461C" w:rsidP="000F461C">
      <w:pPr>
        <w:pStyle w:val="ProcedureHeading1"/>
        <w:numPr>
          <w:ilvl w:val="0"/>
          <w:numId w:val="0"/>
        </w:numPr>
      </w:pPr>
    </w:p>
    <w:p w:rsidR="0052102B" w:rsidRDefault="00876600">
      <w:pPr>
        <w:pStyle w:val="ProcedureNormal"/>
      </w:pPr>
      <w:r w:rsidRPr="00C12466">
        <w:t xml:space="preserve">Reasonable Fee – A reasonable fee is </w:t>
      </w:r>
      <w:r w:rsidR="004C6FB3" w:rsidRPr="00C12466">
        <w:t xml:space="preserve">determined by considering the type of works undertaken, the complexity of the issue, the equipment required and travel time.  </w:t>
      </w:r>
      <w:r w:rsidR="007F1E63" w:rsidRPr="00C12466">
        <w:t xml:space="preserve">The </w:t>
      </w:r>
      <w:r w:rsidR="00C546AE" w:rsidRPr="00C12466">
        <w:t>WSO</w:t>
      </w:r>
      <w:r w:rsidR="00CA4173" w:rsidRPr="00C12466">
        <w:t xml:space="preserve"> whom attended the issue</w:t>
      </w:r>
      <w:r w:rsidR="007F1E63" w:rsidRPr="00C12466">
        <w:t xml:space="preserve">, in conjunction with the </w:t>
      </w:r>
      <w:r w:rsidR="00CA4173" w:rsidRPr="00C12466">
        <w:t>Area Manager</w:t>
      </w:r>
      <w:r w:rsidR="007F1E63" w:rsidRPr="00C12466">
        <w:t xml:space="preserve"> will determine the reasonable fee.</w:t>
      </w:r>
      <w:r w:rsidR="007F1E63">
        <w:t xml:space="preserve"> </w:t>
      </w:r>
    </w:p>
    <w:p w:rsidR="00C546AE" w:rsidRDefault="00C546AE">
      <w:pPr>
        <w:pStyle w:val="ProcedureNormal"/>
      </w:pPr>
    </w:p>
    <w:p w:rsidR="00C546AE" w:rsidRPr="00C546AE" w:rsidRDefault="00C546AE" w:rsidP="00C546AE">
      <w:pPr>
        <w:pStyle w:val="ProcedureHeading1"/>
        <w:numPr>
          <w:ilvl w:val="0"/>
          <w:numId w:val="0"/>
        </w:numPr>
        <w:rPr>
          <w:b w:val="0"/>
        </w:rPr>
      </w:pPr>
      <w:r w:rsidRPr="00C546AE">
        <w:rPr>
          <w:b w:val="0"/>
        </w:rPr>
        <w:t xml:space="preserve">The reader is directed to the corporation’s </w:t>
      </w:r>
      <w:hyperlink r:id="rId7" w:history="1">
        <w:r w:rsidRPr="00C546AE">
          <w:rPr>
            <w:rStyle w:val="Hyperlink"/>
            <w:b w:val="0"/>
          </w:rPr>
          <w:t>standard definitions</w:t>
        </w:r>
      </w:hyperlink>
      <w:r w:rsidRPr="00C546AE">
        <w:rPr>
          <w:b w:val="0"/>
        </w:rPr>
        <w:t>.</w:t>
      </w:r>
    </w:p>
    <w:p w:rsidR="00230932" w:rsidRDefault="00230932" w:rsidP="002F2CA9">
      <w:pPr>
        <w:pStyle w:val="ProcedureNormal"/>
      </w:pPr>
    </w:p>
    <w:sectPr w:rsidR="00230932">
      <w:headerReference w:type="default" r:id="rId8"/>
      <w:footerReference w:type="default" r:id="rId9"/>
      <w:pgSz w:w="11906" w:h="16838"/>
      <w:pgMar w:top="1618" w:right="1134" w:bottom="1079" w:left="1134" w:header="53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A6" w:rsidRDefault="00C55BA6">
      <w:pPr>
        <w:pStyle w:val="ProcedureNormal"/>
        <w:rPr>
          <w:szCs w:val="24"/>
          <w:lang w:val="en-AU"/>
        </w:rPr>
      </w:pPr>
      <w:r>
        <w:separator/>
      </w:r>
    </w:p>
  </w:endnote>
  <w:endnote w:type="continuationSeparator" w:id="0">
    <w:p w:rsidR="00C55BA6" w:rsidRDefault="00C55BA6">
      <w:pPr>
        <w:pStyle w:val="ProcedureNormal"/>
        <w:rPr>
          <w:szCs w:val="24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000" w:firstRow="0" w:lastRow="0" w:firstColumn="0" w:lastColumn="0" w:noHBand="0" w:noVBand="0"/>
    </w:tblPr>
    <w:tblGrid>
      <w:gridCol w:w="4668"/>
      <w:gridCol w:w="2280"/>
      <w:gridCol w:w="2880"/>
    </w:tblGrid>
    <w:tr w:rsidR="00D16F76" w:rsidTr="0061223D">
      <w:tc>
        <w:tcPr>
          <w:tcW w:w="4668" w:type="dxa"/>
          <w:tcBorders>
            <w:top w:val="single" w:sz="4" w:space="0" w:color="auto"/>
          </w:tcBorders>
        </w:tcPr>
        <w:p w:rsidR="00D16F76" w:rsidRPr="00742CBE" w:rsidRDefault="00D16F76" w:rsidP="00742CBE">
          <w:pPr>
            <w:rPr>
              <w:sz w:val="16"/>
            </w:rPr>
          </w:pPr>
          <w:r w:rsidRPr="00742CBE">
            <w:rPr>
              <w:sz w:val="16"/>
            </w:rPr>
            <w:t xml:space="preserve">Responsible Person:  Manager </w:t>
          </w:r>
          <w:r w:rsidR="00742CBE" w:rsidRPr="00742CBE">
            <w:rPr>
              <w:sz w:val="16"/>
            </w:rPr>
            <w:t>Regional Operations</w:t>
          </w:r>
        </w:p>
      </w:tc>
      <w:tc>
        <w:tcPr>
          <w:tcW w:w="2280" w:type="dxa"/>
          <w:tcBorders>
            <w:top w:val="single" w:sz="4" w:space="0" w:color="auto"/>
          </w:tcBorders>
        </w:tcPr>
        <w:p w:rsidR="00D16F76" w:rsidRDefault="00D16F76">
          <w:pPr>
            <w:jc w:val="center"/>
            <w:rPr>
              <w:sz w:val="16"/>
            </w:rPr>
          </w:pPr>
        </w:p>
      </w:tc>
      <w:tc>
        <w:tcPr>
          <w:tcW w:w="2880" w:type="dxa"/>
          <w:tcBorders>
            <w:top w:val="single" w:sz="4" w:space="0" w:color="auto"/>
          </w:tcBorders>
        </w:tcPr>
        <w:p w:rsidR="00D16F76" w:rsidRDefault="00D16F76">
          <w:pPr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A7FBA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AA7FBA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  <w:tr w:rsidR="00D16F76" w:rsidTr="0061223D">
      <w:tc>
        <w:tcPr>
          <w:tcW w:w="4668" w:type="dxa"/>
        </w:tcPr>
        <w:p w:rsidR="00D16F76" w:rsidRPr="00742CBE" w:rsidRDefault="00D16F76" w:rsidP="00742CBE">
          <w:pPr>
            <w:rPr>
              <w:sz w:val="16"/>
            </w:rPr>
          </w:pPr>
          <w:r w:rsidRPr="00742CBE">
            <w:rPr>
              <w:sz w:val="16"/>
            </w:rPr>
            <w:t xml:space="preserve">Authorised By:  EM </w:t>
          </w:r>
          <w:r w:rsidR="00742CBE" w:rsidRPr="00742CBE">
            <w:rPr>
              <w:sz w:val="16"/>
            </w:rPr>
            <w:t>Service Delivery</w:t>
          </w:r>
          <w:r w:rsidRPr="00742CBE">
            <w:rPr>
              <w:sz w:val="16"/>
            </w:rPr>
            <w:t xml:space="preserve"> </w:t>
          </w:r>
        </w:p>
      </w:tc>
      <w:tc>
        <w:tcPr>
          <w:tcW w:w="2280" w:type="dxa"/>
        </w:tcPr>
        <w:p w:rsidR="00D16F76" w:rsidRDefault="00D16F76">
          <w:pPr>
            <w:jc w:val="center"/>
            <w:rPr>
              <w:sz w:val="16"/>
            </w:rPr>
          </w:pPr>
        </w:p>
      </w:tc>
      <w:tc>
        <w:tcPr>
          <w:tcW w:w="2880" w:type="dxa"/>
        </w:tcPr>
        <w:p w:rsidR="00D16F76" w:rsidRDefault="00D16F76">
          <w:pPr>
            <w:tabs>
              <w:tab w:val="left" w:pos="2100"/>
              <w:tab w:val="right" w:pos="3117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Print Date: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"d MMMM yyyy" </w:instrText>
          </w:r>
          <w:r>
            <w:rPr>
              <w:sz w:val="16"/>
            </w:rPr>
            <w:fldChar w:fldCharType="separate"/>
          </w:r>
          <w:r w:rsidR="00AA7FBA">
            <w:rPr>
              <w:noProof/>
              <w:sz w:val="16"/>
            </w:rPr>
            <w:t>19 April 2018</w:t>
          </w:r>
          <w:r>
            <w:rPr>
              <w:sz w:val="16"/>
            </w:rPr>
            <w:fldChar w:fldCharType="end"/>
          </w:r>
        </w:p>
      </w:tc>
    </w:tr>
    <w:tr w:rsidR="00D16F76" w:rsidTr="0061223D">
      <w:trPr>
        <w:cantSplit/>
      </w:trPr>
      <w:tc>
        <w:tcPr>
          <w:tcW w:w="9828" w:type="dxa"/>
          <w:gridSpan w:val="3"/>
        </w:tcPr>
        <w:p w:rsidR="00D16F76" w:rsidRDefault="00D16F76">
          <w:pPr>
            <w:tabs>
              <w:tab w:val="left" w:pos="2100"/>
              <w:tab w:val="right" w:pos="3117"/>
            </w:tabs>
            <w:jc w:val="center"/>
            <w:rPr>
              <w:sz w:val="16"/>
            </w:rPr>
          </w:pPr>
          <w:r>
            <w:rPr>
              <w:sz w:val="16"/>
            </w:rPr>
            <w:t>The controlled copy of this document is available on the intranet. Printed copies are only current as of the print date.</w:t>
          </w:r>
        </w:p>
      </w:tc>
    </w:tr>
  </w:tbl>
  <w:p w:rsidR="00D16F76" w:rsidRDefault="00D16F7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A6" w:rsidRDefault="00C55BA6">
      <w:pPr>
        <w:pStyle w:val="ProcedureNormal"/>
        <w:rPr>
          <w:szCs w:val="24"/>
          <w:lang w:val="en-AU"/>
        </w:rPr>
      </w:pPr>
      <w:r>
        <w:separator/>
      </w:r>
    </w:p>
  </w:footnote>
  <w:footnote w:type="continuationSeparator" w:id="0">
    <w:p w:rsidR="00C55BA6" w:rsidRDefault="00C55BA6">
      <w:pPr>
        <w:pStyle w:val="ProcedureNormal"/>
        <w:rPr>
          <w:szCs w:val="24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000" w:firstRow="0" w:lastRow="0" w:firstColumn="0" w:lastColumn="0" w:noHBand="0" w:noVBand="0"/>
    </w:tblPr>
    <w:tblGrid>
      <w:gridCol w:w="1908"/>
      <w:gridCol w:w="5880"/>
      <w:gridCol w:w="2243"/>
    </w:tblGrid>
    <w:tr w:rsidR="00D16F76" w:rsidTr="00FB2832">
      <w:trPr>
        <w:cantSplit/>
        <w:trHeight w:val="905"/>
      </w:trPr>
      <w:tc>
        <w:tcPr>
          <w:tcW w:w="1908" w:type="dxa"/>
          <w:tcBorders>
            <w:bottom w:val="single" w:sz="4" w:space="0" w:color="auto"/>
          </w:tcBorders>
          <w:vAlign w:val="center"/>
        </w:tcPr>
        <w:p w:rsidR="00D16F76" w:rsidRDefault="00ED5851">
          <w:pPr>
            <w:tabs>
              <w:tab w:val="right" w:pos="9450"/>
            </w:tabs>
            <w:rPr>
              <w:bCs/>
              <w:sz w:val="18"/>
            </w:rPr>
          </w:pPr>
          <w:r>
            <w:rPr>
              <w:bCs/>
              <w:noProof/>
              <w:sz w:val="18"/>
              <w:lang w:eastAsia="en-AU"/>
            </w:rPr>
            <w:drawing>
              <wp:inline distT="0" distB="0" distL="0" distR="0">
                <wp:extent cx="563880" cy="464820"/>
                <wp:effectExtent l="0" t="0" r="0" b="0"/>
                <wp:docPr id="1" name="Picture 1" descr="Colour GWMWa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GWMWa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6F76" w:rsidRDefault="00D16F76">
          <w:pPr>
            <w:tabs>
              <w:tab w:val="right" w:pos="9450"/>
            </w:tabs>
            <w:rPr>
              <w:bCs/>
              <w:sz w:val="18"/>
            </w:rPr>
          </w:pPr>
          <w:r>
            <w:rPr>
              <w:bCs/>
              <w:color w:val="336699"/>
              <w:sz w:val="16"/>
            </w:rPr>
            <w:t>Management System</w:t>
          </w:r>
        </w:p>
      </w:tc>
      <w:tc>
        <w:tcPr>
          <w:tcW w:w="5880" w:type="dxa"/>
          <w:tcBorders>
            <w:bottom w:val="single" w:sz="4" w:space="0" w:color="auto"/>
          </w:tcBorders>
          <w:vAlign w:val="center"/>
        </w:tcPr>
        <w:p w:rsidR="00D16F76" w:rsidRDefault="00ED5851" w:rsidP="00BC3206">
          <w:pPr>
            <w:tabs>
              <w:tab w:val="right" w:pos="9450"/>
            </w:tabs>
            <w:jc w:val="center"/>
            <w:rPr>
              <w:b/>
              <w:sz w:val="36"/>
            </w:rPr>
          </w:pPr>
          <w:r>
            <w:rPr>
              <w:b/>
              <w:sz w:val="32"/>
            </w:rPr>
            <w:t xml:space="preserve">Sewer Blockages </w:t>
          </w:r>
          <w:r w:rsidR="00DE476F">
            <w:rPr>
              <w:b/>
              <w:sz w:val="32"/>
            </w:rPr>
            <w:t>in</w:t>
          </w:r>
          <w:r>
            <w:rPr>
              <w:b/>
              <w:sz w:val="32"/>
            </w:rPr>
            <w:t xml:space="preserve"> Jump Ups</w:t>
          </w:r>
          <w:r w:rsidR="00DE476F">
            <w:rPr>
              <w:b/>
              <w:sz w:val="32"/>
            </w:rPr>
            <w:t xml:space="preserve"> </w:t>
          </w:r>
          <w:r w:rsidR="00D17215">
            <w:rPr>
              <w:b/>
              <w:sz w:val="32"/>
            </w:rPr>
            <w:t>Procedure</w:t>
          </w:r>
        </w:p>
      </w:tc>
      <w:tc>
        <w:tcPr>
          <w:tcW w:w="2243" w:type="dxa"/>
          <w:tcBorders>
            <w:bottom w:val="single" w:sz="4" w:space="0" w:color="auto"/>
          </w:tcBorders>
          <w:vAlign w:val="center"/>
        </w:tcPr>
        <w:p w:rsidR="00D16F76" w:rsidRDefault="00D16F76">
          <w:pPr>
            <w:tabs>
              <w:tab w:val="right" w:pos="9450"/>
            </w:tabs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TRIM REF: CMS/</w:t>
          </w:r>
          <w:r w:rsidR="00C12466">
            <w:rPr>
              <w:sz w:val="16"/>
              <w:lang w:val="de-DE"/>
            </w:rPr>
            <w:t>3293</w:t>
          </w:r>
        </w:p>
        <w:p w:rsidR="00D16F76" w:rsidRPr="00FB2832" w:rsidRDefault="0026315A">
          <w:pPr>
            <w:tabs>
              <w:tab w:val="right" w:pos="9450"/>
            </w:tabs>
            <w:jc w:val="right"/>
            <w:rPr>
              <w:sz w:val="16"/>
              <w:lang w:val="de-DE"/>
            </w:rPr>
          </w:pPr>
          <w:r w:rsidRPr="00FB2832">
            <w:rPr>
              <w:sz w:val="16"/>
              <w:lang w:val="de-DE"/>
            </w:rPr>
            <w:t xml:space="preserve">Version: </w:t>
          </w:r>
          <w:r w:rsidRPr="00AA7FBA">
            <w:rPr>
              <w:sz w:val="16"/>
              <w:lang w:val="de-DE"/>
            </w:rPr>
            <w:t>0</w:t>
          </w:r>
          <w:r w:rsidR="00C460F0" w:rsidRPr="00AA7FBA">
            <w:rPr>
              <w:sz w:val="16"/>
              <w:lang w:val="de-DE"/>
            </w:rPr>
            <w:t>2</w:t>
          </w:r>
        </w:p>
        <w:p w:rsidR="00D16F76" w:rsidRPr="00FB2832" w:rsidRDefault="0026315A">
          <w:pPr>
            <w:tabs>
              <w:tab w:val="right" w:pos="9450"/>
            </w:tabs>
            <w:jc w:val="right"/>
            <w:rPr>
              <w:sz w:val="16"/>
            </w:rPr>
          </w:pPr>
          <w:r w:rsidRPr="00FB2832">
            <w:rPr>
              <w:sz w:val="16"/>
            </w:rPr>
            <w:t>Date Approved</w:t>
          </w:r>
          <w:r w:rsidR="00D16F76" w:rsidRPr="00FB2832">
            <w:rPr>
              <w:sz w:val="16"/>
            </w:rPr>
            <w:t xml:space="preserve">: </w:t>
          </w:r>
          <w:r w:rsidR="00AA7FBA">
            <w:rPr>
              <w:sz w:val="16"/>
            </w:rPr>
            <w:t>17/04/18</w:t>
          </w:r>
        </w:p>
        <w:p w:rsidR="0026315A" w:rsidRPr="00FB2832" w:rsidRDefault="0026315A">
          <w:pPr>
            <w:tabs>
              <w:tab w:val="right" w:pos="9450"/>
            </w:tabs>
            <w:jc w:val="right"/>
            <w:rPr>
              <w:sz w:val="16"/>
            </w:rPr>
          </w:pPr>
          <w:r w:rsidRPr="00FB2832">
            <w:rPr>
              <w:sz w:val="16"/>
            </w:rPr>
            <w:t>Review Date:</w:t>
          </w:r>
          <w:r w:rsidR="00AA7FBA">
            <w:rPr>
              <w:sz w:val="16"/>
            </w:rPr>
            <w:t xml:space="preserve"> 17/04/23</w:t>
          </w:r>
        </w:p>
        <w:p w:rsidR="00D16F76" w:rsidRDefault="00D16F76">
          <w:pPr>
            <w:tabs>
              <w:tab w:val="right" w:pos="9450"/>
            </w:tabs>
            <w:jc w:val="right"/>
            <w:rPr>
              <w:sz w:val="18"/>
            </w:rPr>
          </w:pPr>
          <w:r w:rsidRPr="00FB2832">
            <w:rPr>
              <w:sz w:val="16"/>
            </w:rPr>
            <w:t xml:space="preserve">Latest changes </w:t>
          </w:r>
          <w:r w:rsidRPr="00C12466">
            <w:rPr>
              <w:sz w:val="16"/>
              <w:highlight w:val="yellow"/>
            </w:rPr>
            <w:t>highlighted</w:t>
          </w:r>
        </w:p>
      </w:tc>
    </w:tr>
  </w:tbl>
  <w:p w:rsidR="00D16F76" w:rsidRDefault="00D16F76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4E3"/>
    <w:multiLevelType w:val="multilevel"/>
    <w:tmpl w:val="C0980830"/>
    <w:lvl w:ilvl="0">
      <w:start w:val="1"/>
      <w:numFmt w:val="decimal"/>
      <w:pStyle w:val="ProcedureHeading1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rocedureHeading2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9"/>
        </w:tabs>
        <w:ind w:left="6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1800"/>
      </w:pPr>
      <w:rPr>
        <w:rFonts w:hint="default"/>
      </w:rPr>
    </w:lvl>
  </w:abstractNum>
  <w:abstractNum w:abstractNumId="1" w15:restartNumberingAfterBreak="0">
    <w:nsid w:val="339175CD"/>
    <w:multiLevelType w:val="hybridMultilevel"/>
    <w:tmpl w:val="02CCCADA"/>
    <w:lvl w:ilvl="0" w:tplc="E286A9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B"/>
    <w:rsid w:val="000163E7"/>
    <w:rsid w:val="000209FA"/>
    <w:rsid w:val="000611F0"/>
    <w:rsid w:val="0008421D"/>
    <w:rsid w:val="000A067B"/>
    <w:rsid w:val="000A5B96"/>
    <w:rsid w:val="000C3F1F"/>
    <w:rsid w:val="000D2B43"/>
    <w:rsid w:val="000F461C"/>
    <w:rsid w:val="00156A6B"/>
    <w:rsid w:val="00185C4A"/>
    <w:rsid w:val="001A6269"/>
    <w:rsid w:val="001C4A03"/>
    <w:rsid w:val="0021574B"/>
    <w:rsid w:val="00230932"/>
    <w:rsid w:val="002572C0"/>
    <w:rsid w:val="0026315A"/>
    <w:rsid w:val="0029410F"/>
    <w:rsid w:val="002B01DC"/>
    <w:rsid w:val="002B75B3"/>
    <w:rsid w:val="002C0CFB"/>
    <w:rsid w:val="002C45DD"/>
    <w:rsid w:val="002D5507"/>
    <w:rsid w:val="002F2CA9"/>
    <w:rsid w:val="00321EDC"/>
    <w:rsid w:val="003A142F"/>
    <w:rsid w:val="003A1F14"/>
    <w:rsid w:val="003D148D"/>
    <w:rsid w:val="003F4000"/>
    <w:rsid w:val="00410DA3"/>
    <w:rsid w:val="00416DEE"/>
    <w:rsid w:val="00433C06"/>
    <w:rsid w:val="00435562"/>
    <w:rsid w:val="00483FC1"/>
    <w:rsid w:val="004C6FB3"/>
    <w:rsid w:val="004D221B"/>
    <w:rsid w:val="0052102B"/>
    <w:rsid w:val="005407B5"/>
    <w:rsid w:val="0055095E"/>
    <w:rsid w:val="0055267E"/>
    <w:rsid w:val="00557FB8"/>
    <w:rsid w:val="00585225"/>
    <w:rsid w:val="00594926"/>
    <w:rsid w:val="005F36D2"/>
    <w:rsid w:val="00603070"/>
    <w:rsid w:val="0061223D"/>
    <w:rsid w:val="00637C66"/>
    <w:rsid w:val="00656AF4"/>
    <w:rsid w:val="006668F1"/>
    <w:rsid w:val="0067629D"/>
    <w:rsid w:val="006E3D88"/>
    <w:rsid w:val="007329C1"/>
    <w:rsid w:val="00742CBE"/>
    <w:rsid w:val="0077047D"/>
    <w:rsid w:val="007C2F6D"/>
    <w:rsid w:val="007D6E8A"/>
    <w:rsid w:val="007F1E63"/>
    <w:rsid w:val="0081542B"/>
    <w:rsid w:val="008319DB"/>
    <w:rsid w:val="00855E65"/>
    <w:rsid w:val="00876600"/>
    <w:rsid w:val="008A47DE"/>
    <w:rsid w:val="0097450B"/>
    <w:rsid w:val="009A7C81"/>
    <w:rsid w:val="009E3A63"/>
    <w:rsid w:val="00A50584"/>
    <w:rsid w:val="00A61C16"/>
    <w:rsid w:val="00A8583E"/>
    <w:rsid w:val="00AA7FBA"/>
    <w:rsid w:val="00AD59BB"/>
    <w:rsid w:val="00B50807"/>
    <w:rsid w:val="00B52F9D"/>
    <w:rsid w:val="00BC3206"/>
    <w:rsid w:val="00C03D65"/>
    <w:rsid w:val="00C12466"/>
    <w:rsid w:val="00C460F0"/>
    <w:rsid w:val="00C546AE"/>
    <w:rsid w:val="00C55BA6"/>
    <w:rsid w:val="00C65A07"/>
    <w:rsid w:val="00CA4173"/>
    <w:rsid w:val="00CA4654"/>
    <w:rsid w:val="00CD512C"/>
    <w:rsid w:val="00CF0630"/>
    <w:rsid w:val="00D16F76"/>
    <w:rsid w:val="00D17215"/>
    <w:rsid w:val="00D27292"/>
    <w:rsid w:val="00D648DD"/>
    <w:rsid w:val="00DE476F"/>
    <w:rsid w:val="00E907B6"/>
    <w:rsid w:val="00EA57DA"/>
    <w:rsid w:val="00ED5851"/>
    <w:rsid w:val="00F21545"/>
    <w:rsid w:val="00F774AE"/>
    <w:rsid w:val="00F87222"/>
    <w:rsid w:val="00FB2832"/>
    <w:rsid w:val="00FD2593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4BA5E5"/>
  <w15:chartTrackingRefBased/>
  <w15:docId w15:val="{7D236355-80C2-4D5B-AA58-1136906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Heading2">
    <w:name w:val="Procedure Heading 2"/>
    <w:basedOn w:val="ProcedureHeading1"/>
    <w:pPr>
      <w:numPr>
        <w:ilvl w:val="1"/>
      </w:numPr>
    </w:pPr>
  </w:style>
  <w:style w:type="paragraph" w:customStyle="1" w:styleId="ProcedureHeading1">
    <w:name w:val="Procedure Heading 1"/>
    <w:basedOn w:val="Normal"/>
    <w:pPr>
      <w:numPr>
        <w:numId w:val="1"/>
      </w:numPr>
    </w:pPr>
    <w:rPr>
      <w:b/>
      <w:szCs w:val="20"/>
      <w:lang w:val="en-US"/>
    </w:rPr>
  </w:style>
  <w:style w:type="paragraph" w:customStyle="1" w:styleId="ProcedureNormal">
    <w:name w:val="ProcedureNormal"/>
    <w:basedOn w:val="ProcedureHeading1"/>
    <w:pPr>
      <w:numPr>
        <w:numId w:val="0"/>
      </w:numPr>
    </w:pPr>
    <w:rPr>
      <w:b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D6E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C66"/>
    <w:rPr>
      <w:color w:val="800080"/>
      <w:u w:val="single"/>
    </w:rPr>
  </w:style>
  <w:style w:type="character" w:styleId="CommentReference">
    <w:name w:val="annotation reference"/>
    <w:semiHidden/>
    <w:rsid w:val="00435562"/>
    <w:rPr>
      <w:sz w:val="16"/>
      <w:szCs w:val="16"/>
    </w:rPr>
  </w:style>
  <w:style w:type="paragraph" w:styleId="CommentText">
    <w:name w:val="annotation text"/>
    <w:basedOn w:val="Normal"/>
    <w:semiHidden/>
    <w:rsid w:val="004355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5562"/>
    <w:rPr>
      <w:b/>
      <w:bCs/>
    </w:rPr>
  </w:style>
  <w:style w:type="paragraph" w:customStyle="1" w:styleId="PolicyHeading2">
    <w:name w:val="Policy Heading 2"/>
    <w:basedOn w:val="PolicyHeading1"/>
    <w:rsid w:val="000F461C"/>
  </w:style>
  <w:style w:type="paragraph" w:customStyle="1" w:styleId="PolicyHeading1">
    <w:name w:val="Policy Heading 1"/>
    <w:basedOn w:val="Normal"/>
    <w:rsid w:val="000F461C"/>
    <w:pPr>
      <w:tabs>
        <w:tab w:val="num" w:pos="567"/>
      </w:tabs>
      <w:ind w:left="567" w:hanging="567"/>
    </w:pPr>
    <w:rPr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3206"/>
    <w:pPr>
      <w:ind w:left="720"/>
      <w:contextualSpacing/>
      <w:jc w:val="left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rim://CMS/63?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lients\GWMWater\Documents\Procedure%20Format%20Proposed%20revision%20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Format Proposed revision 002</Template>
  <TotalTime>3</TotalTime>
  <Pages>2</Pages>
  <Words>700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</vt:lpstr>
    </vt:vector>
  </TitlesOfParts>
  <Company>Wimmera Mallee Water</Company>
  <LinksUpToDate>false</LinksUpToDate>
  <CharactersWithSpaces>4273</CharactersWithSpaces>
  <SharedDoc>false</SharedDoc>
  <HLinks>
    <vt:vector size="18" baseType="variant">
      <vt:variant>
        <vt:i4>3604586</vt:i4>
      </vt:variant>
      <vt:variant>
        <vt:i4>6</vt:i4>
      </vt:variant>
      <vt:variant>
        <vt:i4>0</vt:i4>
      </vt:variant>
      <vt:variant>
        <vt:i4>5</vt:i4>
      </vt:variant>
      <vt:variant>
        <vt:lpwstr>trim://CMS/63?view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trim://CMS/2041?view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trim://cms/2040?view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</dc:title>
  <dc:subject/>
  <dc:creator>mallison</dc:creator>
  <cp:keywords/>
  <cp:lastModifiedBy>Sarah Lowe</cp:lastModifiedBy>
  <cp:revision>4</cp:revision>
  <cp:lastPrinted>2009-05-22T05:08:00Z</cp:lastPrinted>
  <dcterms:created xsi:type="dcterms:W3CDTF">2018-03-26T04:33:00Z</dcterms:created>
  <dcterms:modified xsi:type="dcterms:W3CDTF">2018-04-19T04:38:00Z</dcterms:modified>
</cp:coreProperties>
</file>